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17.xml" ContentType="application/vnd.openxmlformats-officedocument.themeOverrid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8.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19.xml" ContentType="application/vnd.openxmlformats-officedocument.themeOverrid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20.xml" ContentType="application/vnd.openxmlformats-officedocument.themeOverrid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21.xml" ContentType="application/vnd.openxmlformats-officedocument.themeOverrid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22.xml" ContentType="application/vnd.openxmlformats-officedocument.themeOverrid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theme/themeOverride23.xml" ContentType="application/vnd.openxmlformats-officedocument.themeOverrid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theme/themeOverride24.xml" ContentType="application/vnd.openxmlformats-officedocument.themeOverride+xml"/>
  <Override PartName="/word/footer1.xml" ContentType="application/vnd.openxmlformats-officedocument.wordprocessingml.footer+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theme/themeOverride25.xml" ContentType="application/vnd.openxmlformats-officedocument.themeOverrid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theme/themeOverride26.xml" ContentType="application/vnd.openxmlformats-officedocument.themeOverrid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theme/themeOverride27.xml" ContentType="application/vnd.openxmlformats-officedocument.themeOverrid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theme/themeOverride28.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016694" w14:textId="6860692D" w:rsidR="00247A41" w:rsidRDefault="00247A41">
      <w:bookmarkStart w:id="0" w:name="_Toc519842258"/>
      <w:bookmarkStart w:id="1" w:name="_Toc522289563"/>
      <w:bookmarkStart w:id="2" w:name="_Toc25228986"/>
      <w:bookmarkStart w:id="3" w:name="_GoBack"/>
      <w:bookmarkEnd w:id="3"/>
      <w:r>
        <w:t>`````````</w:t>
      </w:r>
    </w:p>
    <w:sdt>
      <w:sdtPr>
        <w:id w:val="-1363285033"/>
        <w:docPartObj>
          <w:docPartGallery w:val="Cover Pages"/>
          <w:docPartUnique/>
        </w:docPartObj>
      </w:sdtPr>
      <w:sdtEndPr>
        <w:rPr>
          <w:rFonts w:cs="Times New Roman"/>
          <w:sz w:val="24"/>
          <w:szCs w:val="24"/>
        </w:rPr>
      </w:sdtEndPr>
      <w:sdtContent>
        <w:p w14:paraId="3B61D771" w14:textId="343E604E" w:rsidR="00A04A31" w:rsidRDefault="00365B1B">
          <w:r>
            <w:rPr>
              <w:noProof/>
              <w:lang w:val="en-US"/>
            </w:rPr>
            <mc:AlternateContent>
              <mc:Choice Requires="wpg">
                <w:drawing>
                  <wp:anchor distT="0" distB="0" distL="114300" distR="114300" simplePos="0" relativeHeight="251685888" behindDoc="1" locked="0" layoutInCell="1" allowOverlap="1" wp14:anchorId="389A2E49" wp14:editId="0DEE88C1">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7057390" cy="6696583"/>
                    <wp:effectExtent l="0" t="0" r="0" b="42545"/>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058024" cy="6696583"/>
                              <a:chOff x="0" y="0"/>
                              <a:chExt cx="5723535" cy="5404485"/>
                            </a:xfrm>
                          </wpg:grpSpPr>
                          <wps:wsp>
                            <wps:cNvPr id="126" name="Freeform 10"/>
                            <wps:cNvSpPr/>
                            <wps:spPr bwMode="auto">
                              <a:xfrm>
                                <a:off x="0" y="0"/>
                                <a:ext cx="5723535"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9FACF0D" w14:textId="77777777" w:rsidR="005C750A" w:rsidRDefault="002E1637" w:rsidP="00955834">
                                  <w:pPr>
                                    <w:jc w:val="center"/>
                                    <w:rPr>
                                      <w:color w:val="FFFFFF" w:themeColor="background1"/>
                                      <w:sz w:val="72"/>
                                      <w:szCs w:val="72"/>
                                    </w:rPr>
                                  </w:pPr>
                                  <w:sdt>
                                    <w:sdtPr>
                                      <w:rPr>
                                        <w:color w:val="FFFFFF" w:themeColor="background1"/>
                                        <w:sz w:val="56"/>
                                        <w:szCs w:val="56"/>
                                      </w:rPr>
                                      <w:alias w:val="Title"/>
                                      <w:id w:val="-1828504427"/>
                                      <w:dataBinding w:prefixMappings="xmlns:ns0='http://purl.org/dc/elements/1.1/' xmlns:ns1='http://schemas.openxmlformats.org/package/2006/metadata/core-properties' " w:xpath="/ns1:coreProperties[1]/ns0:title[1]" w:storeItemID="{6C3C8BC8-F283-45AE-878A-BAB7291924A1}"/>
                                      <w:text/>
                                    </w:sdtPr>
                                    <w:sdtEndPr/>
                                    <w:sdtContent>
                                      <w:r w:rsidR="005C750A" w:rsidRPr="00806BA0">
                                        <w:rPr>
                                          <w:color w:val="FFFFFF" w:themeColor="background1"/>
                                          <w:sz w:val="56"/>
                                          <w:szCs w:val="56"/>
                                        </w:rPr>
                                        <w:t>Government of Saint Lucia               Annual Debt Portfolio Report 2021</w:t>
                                      </w:r>
                                    </w:sdtContent>
                                  </w:sdt>
                                </w:p>
                              </w:txbxContent>
                            </wps:txbx>
                            <wps:bodyPr rot="0" vert="horz" wrap="square" lIns="914400" tIns="1097280" rIns="1097280" bIns="1097280" anchor="b" anchorCtr="0" upright="1"/>
                          </wps:wsp>
                          <wps:wsp>
                            <wps:cNvPr id="127" name="Freeform 11"/>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wps:wsp>
                        </wpg:wgp>
                      </a:graphicData>
                    </a:graphic>
                    <wp14:sizeRelH relativeFrom="margin">
                      <wp14:pctWidth>0</wp14:pctWidth>
                    </wp14:sizeRelH>
                    <wp14:sizeRelV relativeFrom="page">
                      <wp14:pctHeight>67000</wp14:pctHeight>
                    </wp14:sizeRelV>
                  </wp:anchor>
                </w:drawing>
              </mc:Choice>
              <mc:Fallback xmlns:w16se="http://schemas.microsoft.com/office/word/2015/wordml/symex" xmlns:cx="http://schemas.microsoft.com/office/drawing/2014/chartex">
                <w:pict>
                  <v:group w14:anchorId="389A2E49" id="Group 125" o:spid="_x0000_s1026" style="position:absolute;margin-left:0;margin-top:0;width:555.7pt;height:527.3pt;z-index:-251630592;mso-height-percent:670;mso-top-percent:45;mso-position-horizontal:center;mso-position-horizontal-relative:margin;mso-position-vertical-relative:page;mso-height-percent:670;mso-top-percent:45;mso-width-relative:margin" coordsize="57235,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">
                    <o:lock v:ext="edit" aspectratio="t"/>
                    <v:shape id="Freeform 10" o:spid="_x0000_s1027" style="position:absolute;width:5723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245490 [2994]" stroked="f">
                      <v:fill color2="#132d4e [2018]" rotate="t" colors="0 #43629c;.5 #264e8a;1 #0f396c" focus="100%" type="gradient">
                        <o:fill v:ext="view" type="gradientUnscaled"/>
                      </v:fill>
                      <v:stroke joinstyle="miter"/>
                      <v:formulas/>
                      <v:path arrowok="t" o:connecttype="custom" o:connectlocs="0,0;0,4972126;898277,5134261;5723535,4972126;5723535,4763667;5723535,0;0,0" o:connectangles="0,0,0,0,0,0,0" textboxrect="0,0,720,700"/>
                      <v:textbox inset="1in,86.4pt,86.4pt,86.4pt">
                        <w:txbxContent>
                          <w:p w14:paraId="19FACF0D" w14:textId="77777777" w:rsidR="005C750A" w:rsidRDefault="005C750A" w:rsidP="00955834">
                            <w:pPr>
                              <w:jc w:val="center"/>
                              <w:rPr>
                                <w:color w:val="FFFFFF" w:themeColor="background1"/>
                                <w:sz w:val="72"/>
                                <w:szCs w:val="72"/>
                              </w:rPr>
                            </w:pPr>
                            <w:sdt>
                              <w:sdtPr>
                                <w:rPr>
                                  <w:color w:val="FFFFFF" w:themeColor="background1"/>
                                  <w:sz w:val="56"/>
                                  <w:szCs w:val="56"/>
                                </w:rPr>
                                <w:alias w:val="Title"/>
                                <w:id w:val="-1828504427"/>
                                <w:dataBinding w:prefixMappings="xmlns:ns0='http://purl.org/dc/elements/1.1/' xmlns:ns1='http://schemas.openxmlformats.org/package/2006/metadata/core-properties' " w:xpath="/ns1:coreProperties[1]/ns0:title[1]" w:storeItemID="{6C3C8BC8-F283-45AE-878A-BAB7291924A1}"/>
                                <w:text/>
                              </w:sdtPr>
                              <w:sdtContent>
                                <w:r w:rsidRPr="00806BA0">
                                  <w:rPr>
                                    <w:color w:val="FFFFFF" w:themeColor="background1"/>
                                    <w:sz w:val="56"/>
                                    <w:szCs w:val="56"/>
                                  </w:rPr>
                                  <w:t>Government of Saint Lucia               Annual Debt Portfolio Report 2021</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3392E6E3" w14:textId="77777777" w:rsidR="00E0795E" w:rsidRPr="00A04A31" w:rsidRDefault="00365B1B" w:rsidP="00A04A31">
          <w:pPr>
            <w:rPr>
              <w:rFonts w:eastAsiaTheme="majorEastAsia" w:cs="Times New Roman"/>
              <w:b/>
              <w:sz w:val="24"/>
              <w:szCs w:val="24"/>
            </w:rPr>
          </w:pPr>
          <w:r>
            <w:rPr>
              <w:noProof/>
              <w:lang w:val="en-US"/>
            </w:rPr>
            <mc:AlternateContent>
              <mc:Choice Requires="wps">
                <w:drawing>
                  <wp:anchor distT="0" distB="0" distL="114300" distR="114300" simplePos="0" relativeHeight="251689984" behindDoc="0" locked="0" layoutInCell="1" allowOverlap="1" wp14:anchorId="13010C9D" wp14:editId="2A4D94DD">
                    <wp:simplePos x="0" y="0"/>
                    <wp:positionH relativeFrom="page">
                      <wp:align>center</wp:align>
                    </wp:positionH>
                    <wp:positionV relativeFrom="margin">
                      <wp:align>bottom</wp:align>
                    </wp:positionV>
                    <wp:extent cx="6858914"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6858914"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8B0E0C" w14:textId="77777777" w:rsidR="005C750A" w:rsidRDefault="002E1637">
                                <w:pPr>
                                  <w:pStyle w:val="NoSpacing"/>
                                  <w:rPr>
                                    <w:color w:val="7F7F7F" w:themeColor="text1" w:themeTint="80"/>
                                    <w:sz w:val="18"/>
                                    <w:szCs w:val="18"/>
                                  </w:rPr>
                                </w:pPr>
                                <w:sdt>
                                  <w:sdtPr>
                                    <w:rPr>
                                      <w:caps/>
                                      <w:color w:val="7F7F7F" w:themeColor="text1" w:themeTint="80"/>
                                      <w:sz w:val="18"/>
                                      <w:szCs w:val="18"/>
                                    </w:rPr>
                                    <w:alias w:val="Company"/>
                                    <w:id w:val="2129194452"/>
                                    <w:dataBinding w:prefixMappings="xmlns:ns0='http://schemas.openxmlformats.org/officeDocument/2006/extended-properties' " w:xpath="/ns0:Properties[1]/ns0:Company[1]" w:storeItemID="{6668398D-A668-4E3E-A5EB-62B293D839F1}"/>
                                    <w:text/>
                                  </w:sdtPr>
                                  <w:sdtEndPr/>
                                  <w:sdtContent>
                                    <w:r w:rsidR="005C750A">
                                      <w:rPr>
                                        <w:caps/>
                                        <w:color w:val="7F7F7F" w:themeColor="text1" w:themeTint="80"/>
                                        <w:sz w:val="18"/>
                                        <w:szCs w:val="18"/>
                                      </w:rPr>
                                      <w:t>Government of Saint Lucia</w:t>
                                    </w:r>
                                  </w:sdtContent>
                                </w:sdt>
                                <w:r w:rsidR="005C750A">
                                  <w:rPr>
                                    <w:caps/>
                                    <w:color w:val="7F7F7F" w:themeColor="text1" w:themeTint="80"/>
                                    <w:sz w:val="18"/>
                                    <w:szCs w:val="18"/>
                                  </w:rPr>
                                  <w:t> </w:t>
                                </w:r>
                                <w:r w:rsidR="005C750A">
                                  <w:rPr>
                                    <w:color w:val="7F7F7F" w:themeColor="text1" w:themeTint="80"/>
                                    <w:sz w:val="18"/>
                                    <w:szCs w:val="18"/>
                                  </w:rPr>
                                  <w:t>| </w:t>
                                </w:r>
                                <w:sdt>
                                  <w:sdtPr>
                                    <w:rPr>
                                      <w:color w:val="7F7F7F" w:themeColor="text1" w:themeTint="80"/>
                                      <w:sz w:val="18"/>
                                      <w:szCs w:val="18"/>
                                    </w:rPr>
                                    <w:alias w:val="Address"/>
                                    <w:id w:val="1394085695"/>
                                    <w:showingPlcHdr/>
                                    <w:dataBinding w:prefixMappings="xmlns:ns0='http://schemas.microsoft.com/office/2006/coverPageProps' " w:xpath="/ns0:CoverPageProperties[1]/ns0:CompanyAddress[1]" w:storeItemID="{55AF091B-3C7A-41E3-B477-F2FDAA23CFDA}"/>
                                    <w:text/>
                                  </w:sdtPr>
                                  <w:sdtEndPr/>
                                  <w:sdtContent>
                                    <w:r w:rsidR="005C750A">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13010C9D" id="_x0000_t202" coordsize="21600,21600" o:spt="202" path="m,l,21600r21600,l21600,xe">
                    <v:stroke joinstyle="miter"/>
                    <v:path gradientshapeok="t" o:connecttype="rect"/>
                  </v:shapetype>
                  <v:shape id="Text Box 128" o:spid="_x0000_s1029" type="#_x0000_t202" style="position:absolute;margin-left:0;margin-top:0;width:540.05pt;height:11.5pt;z-index:251689984;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" filled="f" stroked="f" strokeweight=".5pt">
                    <v:textbox style="mso-fit-shape-to-text:t" inset="1in,0,86.4pt,0">
                      <w:txbxContent>
                        <w:p w14:paraId="1D8B0E0C" w14:textId="77777777" w:rsidR="005C750A" w:rsidRDefault="005C750A">
                          <w:pPr>
                            <w:pStyle w:val="NoSpacing"/>
                            <w:rPr>
                              <w:color w:val="7F7F7F" w:themeColor="text1" w:themeTint="80"/>
                              <w:sz w:val="18"/>
                              <w:szCs w:val="18"/>
                            </w:rPr>
                          </w:pPr>
                          <w:sdt>
                            <w:sdtPr>
                              <w:rPr>
                                <w:caps/>
                                <w:color w:val="7F7F7F" w:themeColor="text1" w:themeTint="80"/>
                                <w:sz w:val="18"/>
                                <w:szCs w:val="18"/>
                              </w:rPr>
                              <w:alias w:val="Company"/>
                              <w:id w:val="2129194452"/>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Government of Saint Lucia</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id w:val="1394085695"/>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p>
                      </w:txbxContent>
                    </v:textbox>
                    <w10:wrap type="square" anchorx="page" anchory="margin"/>
                  </v:shape>
                </w:pict>
              </mc:Fallback>
            </mc:AlternateContent>
          </w:r>
          <w:r>
            <w:rPr>
              <w:noProof/>
              <w:lang w:val="en-US"/>
            </w:rPr>
            <mc:AlternateContent>
              <mc:Choice Requires="wps">
                <w:drawing>
                  <wp:anchor distT="0" distB="0" distL="114300" distR="114300" simplePos="0" relativeHeight="251687936" behindDoc="0" locked="0" layoutInCell="1" allowOverlap="1" wp14:anchorId="7D54B41A" wp14:editId="358E5723">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6858914"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6858914"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Subtitle"/>
                                  <w:id w:val="651801804"/>
                                  <w:showingPlcHdr/>
                                  <w:dataBinding w:prefixMappings="xmlns:ns0='http://purl.org/dc/elements/1.1/' xmlns:ns1='http://schemas.openxmlformats.org/package/2006/metadata/core-properties' " w:xpath="/ns1:coreProperties[1]/ns0:subject[1]" w:storeItemID="{6C3C8BC8-F283-45AE-878A-BAB7291924A1}"/>
                                  <w:text/>
                                </w:sdtPr>
                                <w:sdtEndPr/>
                                <w:sdtContent>
                                  <w:p w14:paraId="65D46D22" w14:textId="77777777" w:rsidR="005C750A" w:rsidRDefault="005C750A">
                                    <w:pPr>
                                      <w:pStyle w:val="NoSpacing"/>
                                      <w:spacing w:before="40" w:after="40"/>
                                      <w:rPr>
                                        <w:caps/>
                                        <w:color w:val="4F81BD" w:themeColor="accent1"/>
                                        <w:sz w:val="28"/>
                                        <w:szCs w:val="28"/>
                                      </w:rPr>
                                    </w:pPr>
                                    <w:r>
                                      <w:rPr>
                                        <w:caps/>
                                        <w:color w:val="4F81BD" w:themeColor="accent1"/>
                                        <w:sz w:val="28"/>
                                        <w:szCs w:val="28"/>
                                      </w:rPr>
                                      <w:t xml:space="preserve">     </w:t>
                                    </w:r>
                                  </w:p>
                                </w:sdtContent>
                              </w:sdt>
                              <w:sdt>
                                <w:sdtPr>
                                  <w:rPr>
                                    <w:caps/>
                                    <w:color w:val="4BACC6" w:themeColor="accent5"/>
                                    <w:sz w:val="24"/>
                                    <w:szCs w:val="24"/>
                                  </w:rPr>
                                  <w:alias w:val="Author"/>
                                  <w:id w:val="1723558970"/>
                                  <w:dataBinding w:prefixMappings="xmlns:ns0='http://purl.org/dc/elements/1.1/' xmlns:ns1='http://schemas.openxmlformats.org/package/2006/metadata/core-properties' " w:xpath="/ns1:coreProperties[1]/ns0:creator[1]" w:storeItemID="{6C3C8BC8-F283-45AE-878A-BAB7291924A1}"/>
                                  <w:text/>
                                </w:sdtPr>
                                <w:sdtEndPr/>
                                <w:sdtContent>
                                  <w:p w14:paraId="216BA45E" w14:textId="77777777" w:rsidR="005C750A" w:rsidRDefault="005C750A">
                                    <w:pPr>
                                      <w:pStyle w:val="NoSpacing"/>
                                      <w:spacing w:before="40" w:after="40"/>
                                      <w:rPr>
                                        <w:caps/>
                                        <w:color w:val="4BACC6" w:themeColor="accent5"/>
                                        <w:sz w:val="24"/>
                                        <w:szCs w:val="24"/>
                                      </w:rPr>
                                    </w:pPr>
                                    <w:r>
                                      <w:rPr>
                                        <w:caps/>
                                        <w:color w:val="4BACC6" w:themeColor="accent5"/>
                                        <w:sz w:val="24"/>
                                        <w:szCs w:val="24"/>
                                      </w:rPr>
                                      <w:t>Compiled by the Debt and Investment Management Unit of the Ministry of Finance</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6se="http://schemas.microsoft.com/office/word/2015/wordml/symex" xmlns:cx="http://schemas.microsoft.com/office/drawing/2014/chartex">
                <w:pict>
                  <v:shape w14:anchorId="7D54B41A" id="Text Box 129" o:spid="_x0000_s1030" type="#_x0000_t202" style="position:absolute;margin-left:0;margin-top:0;width:540.05pt;height:38.15pt;z-index:25168793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" filled="f" stroked="f" strokeweight=".5pt">
                    <v:textbox style="mso-fit-shape-to-text:t" inset="1in,0,86.4pt,0">
                      <w:txbxContent>
                        <w:sdt>
                          <w:sdtPr>
                            <w:rPr>
                              <w:caps/>
                              <w:color w:val="4F81BD" w:themeColor="accent1"/>
                              <w:sz w:val="28"/>
                              <w:szCs w:val="28"/>
                            </w:rPr>
                            <w:alias w:val="Subtitle"/>
                            <w:id w:val="651801804"/>
                            <w:showingPlcHdr/>
                            <w:dataBinding w:prefixMappings="xmlns:ns0='http://purl.org/dc/elements/1.1/' xmlns:ns1='http://schemas.openxmlformats.org/package/2006/metadata/core-properties' " w:xpath="/ns1:coreProperties[1]/ns0:subject[1]" w:storeItemID="{6C3C8BC8-F283-45AE-878A-BAB7291924A1}"/>
                            <w:text/>
                          </w:sdtPr>
                          <w:sdtContent>
                            <w:p w14:paraId="65D46D22" w14:textId="77777777" w:rsidR="005C750A" w:rsidRDefault="005C750A">
                              <w:pPr>
                                <w:pStyle w:val="NoSpacing"/>
                                <w:spacing w:before="40" w:after="40"/>
                                <w:rPr>
                                  <w:caps/>
                                  <w:color w:val="4F81BD" w:themeColor="accent1"/>
                                  <w:sz w:val="28"/>
                                  <w:szCs w:val="28"/>
                                </w:rPr>
                              </w:pPr>
                              <w:r>
                                <w:rPr>
                                  <w:caps/>
                                  <w:color w:val="4F81BD" w:themeColor="accent1"/>
                                  <w:sz w:val="28"/>
                                  <w:szCs w:val="28"/>
                                </w:rPr>
                                <w:t xml:space="preserve">     </w:t>
                              </w:r>
                            </w:p>
                          </w:sdtContent>
                        </w:sdt>
                        <w:sdt>
                          <w:sdtPr>
                            <w:rPr>
                              <w:caps/>
                              <w:color w:val="4BACC6" w:themeColor="accent5"/>
                              <w:sz w:val="24"/>
                              <w:szCs w:val="24"/>
                            </w:rPr>
                            <w:alias w:val="Author"/>
                            <w:id w:val="1723558970"/>
                            <w:dataBinding w:prefixMappings="xmlns:ns0='http://purl.org/dc/elements/1.1/' xmlns:ns1='http://schemas.openxmlformats.org/package/2006/metadata/core-properties' " w:xpath="/ns1:coreProperties[1]/ns0:creator[1]" w:storeItemID="{6C3C8BC8-F283-45AE-878A-BAB7291924A1}"/>
                            <w:text/>
                          </w:sdtPr>
                          <w:sdtContent>
                            <w:p w14:paraId="216BA45E" w14:textId="77777777" w:rsidR="005C750A" w:rsidRDefault="005C750A">
                              <w:pPr>
                                <w:pStyle w:val="NoSpacing"/>
                                <w:spacing w:before="40" w:after="40"/>
                                <w:rPr>
                                  <w:caps/>
                                  <w:color w:val="4BACC6" w:themeColor="accent5"/>
                                  <w:sz w:val="24"/>
                                  <w:szCs w:val="24"/>
                                </w:rPr>
                              </w:pPr>
                              <w:r>
                                <w:rPr>
                                  <w:caps/>
                                  <w:color w:val="4BACC6" w:themeColor="accent5"/>
                                  <w:sz w:val="24"/>
                                  <w:szCs w:val="24"/>
                                </w:rPr>
                                <w:t>Compiled by the Debt and Investment Management Unit of the Ministry of Finance</w:t>
                              </w:r>
                            </w:p>
                          </w:sdtContent>
                        </w:sdt>
                      </w:txbxContent>
                    </v:textbox>
                    <w10:wrap type="square" anchorx="page" anchory="page"/>
                  </v:shape>
                </w:pict>
              </mc:Fallback>
            </mc:AlternateContent>
          </w:r>
          <w:r>
            <w:rPr>
              <w:rFonts w:cs="Times New Roman"/>
              <w:sz w:val="24"/>
              <w:szCs w:val="24"/>
            </w:rPr>
            <w:br w:type="page"/>
          </w:r>
        </w:p>
      </w:sdtContent>
    </w:sdt>
    <w:sdt>
      <w:sdtPr>
        <w:rPr>
          <w:rFonts w:cs="Times New Roman"/>
          <w:b/>
          <w:i/>
          <w:szCs w:val="16"/>
        </w:rPr>
        <w:id w:val="1155570088"/>
        <w:docPartObj>
          <w:docPartGallery w:val="Table of Contents"/>
          <w:docPartUnique/>
        </w:docPartObj>
      </w:sdtPr>
      <w:sdtEndPr>
        <w:rPr>
          <w:b w:val="0"/>
          <w:bCs/>
          <w:i w:val="0"/>
          <w:noProof/>
        </w:rPr>
      </w:sdtEndPr>
      <w:sdtContent>
        <w:p w14:paraId="25B06E54" w14:textId="77777777" w:rsidR="008A505A" w:rsidRPr="00955834" w:rsidRDefault="00365B1B" w:rsidP="00E0795E">
          <w:pPr>
            <w:spacing w:line="480" w:lineRule="auto"/>
            <w:rPr>
              <w:rFonts w:cs="Times New Roman"/>
              <w:b/>
              <w:sz w:val="28"/>
              <w:szCs w:val="24"/>
            </w:rPr>
          </w:pPr>
          <w:r w:rsidRPr="00101578">
            <w:rPr>
              <w:rFonts w:cs="Times New Roman"/>
              <w:b/>
              <w:sz w:val="24"/>
              <w:szCs w:val="24"/>
            </w:rPr>
            <w:t xml:space="preserve">Table </w:t>
          </w:r>
          <w:r w:rsidRPr="00955834">
            <w:rPr>
              <w:rFonts w:cs="Times New Roman"/>
              <w:b/>
              <w:sz w:val="28"/>
              <w:szCs w:val="24"/>
            </w:rPr>
            <w:t>of Contents</w:t>
          </w:r>
        </w:p>
        <w:p w14:paraId="7C855A83" w14:textId="77777777" w:rsidR="0010713C" w:rsidRPr="00955834" w:rsidRDefault="00365B1B">
          <w:pPr>
            <w:pStyle w:val="TOC1"/>
            <w:rPr>
              <w:rFonts w:asciiTheme="minorHAnsi" w:hAnsiTheme="minorHAnsi"/>
              <w:noProof/>
              <w:sz w:val="22"/>
              <w:lang w:eastAsia="en-029"/>
            </w:rPr>
          </w:pPr>
          <w:r w:rsidRPr="00955834">
            <w:rPr>
              <w:rFonts w:cs="Times New Roman"/>
              <w:sz w:val="22"/>
              <w:szCs w:val="20"/>
            </w:rPr>
            <w:fldChar w:fldCharType="begin"/>
          </w:r>
          <w:r w:rsidRPr="00955834">
            <w:rPr>
              <w:rFonts w:cs="Times New Roman"/>
              <w:sz w:val="22"/>
              <w:szCs w:val="20"/>
            </w:rPr>
            <w:instrText xml:space="preserve"> TOC \o "1-3" \h \z \u </w:instrText>
          </w:r>
          <w:r w:rsidRPr="00955834">
            <w:rPr>
              <w:rFonts w:cs="Times New Roman"/>
              <w:sz w:val="22"/>
              <w:szCs w:val="20"/>
            </w:rPr>
            <w:fldChar w:fldCharType="separate"/>
          </w:r>
          <w:hyperlink w:anchor="_Toc102558903" w:history="1">
            <w:r w:rsidRPr="00955834">
              <w:rPr>
                <w:rStyle w:val="Hyperlink"/>
                <w:noProof/>
                <w:sz w:val="22"/>
              </w:rPr>
              <w:t>Acronyms</w:t>
            </w:r>
            <w:r w:rsidRPr="00955834">
              <w:rPr>
                <w:noProof/>
                <w:webHidden/>
                <w:sz w:val="22"/>
              </w:rPr>
              <w:tab/>
            </w:r>
            <w:r w:rsidRPr="00955834">
              <w:rPr>
                <w:noProof/>
                <w:webHidden/>
                <w:sz w:val="22"/>
              </w:rPr>
              <w:fldChar w:fldCharType="begin"/>
            </w:r>
            <w:r w:rsidRPr="00955834">
              <w:rPr>
                <w:noProof/>
                <w:webHidden/>
                <w:sz w:val="22"/>
              </w:rPr>
              <w:instrText xml:space="preserve"> PAGEREF _Toc102558903 \h </w:instrText>
            </w:r>
            <w:r w:rsidRPr="00955834">
              <w:rPr>
                <w:noProof/>
                <w:webHidden/>
                <w:sz w:val="22"/>
              </w:rPr>
            </w:r>
            <w:r w:rsidRPr="00955834">
              <w:rPr>
                <w:noProof/>
                <w:webHidden/>
                <w:sz w:val="22"/>
              </w:rPr>
              <w:fldChar w:fldCharType="separate"/>
            </w:r>
            <w:r w:rsidR="00BC73C8">
              <w:rPr>
                <w:noProof/>
                <w:webHidden/>
                <w:sz w:val="22"/>
              </w:rPr>
              <w:t>2</w:t>
            </w:r>
            <w:r w:rsidRPr="00955834">
              <w:rPr>
                <w:noProof/>
                <w:webHidden/>
                <w:sz w:val="22"/>
              </w:rPr>
              <w:fldChar w:fldCharType="end"/>
            </w:r>
          </w:hyperlink>
        </w:p>
        <w:p w14:paraId="22EE572B" w14:textId="77777777" w:rsidR="0010713C" w:rsidRPr="00955834" w:rsidRDefault="002E1637">
          <w:pPr>
            <w:pStyle w:val="TOC1"/>
            <w:rPr>
              <w:rFonts w:asciiTheme="minorHAnsi" w:hAnsiTheme="minorHAnsi"/>
              <w:noProof/>
              <w:sz w:val="22"/>
              <w:lang w:eastAsia="en-029"/>
            </w:rPr>
          </w:pPr>
          <w:hyperlink w:anchor="_Toc102558904" w:history="1">
            <w:r w:rsidR="00365B1B" w:rsidRPr="00955834">
              <w:rPr>
                <w:rStyle w:val="Hyperlink"/>
                <w:noProof/>
                <w:sz w:val="22"/>
              </w:rPr>
              <w:t>List of Figures</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_Toc102558904 \h </w:instrText>
            </w:r>
            <w:r w:rsidR="00365B1B" w:rsidRPr="00955834">
              <w:rPr>
                <w:noProof/>
                <w:webHidden/>
                <w:sz w:val="22"/>
              </w:rPr>
            </w:r>
            <w:r w:rsidR="00365B1B" w:rsidRPr="00955834">
              <w:rPr>
                <w:noProof/>
                <w:webHidden/>
                <w:sz w:val="22"/>
              </w:rPr>
              <w:fldChar w:fldCharType="separate"/>
            </w:r>
            <w:r w:rsidR="00BC73C8">
              <w:rPr>
                <w:noProof/>
                <w:webHidden/>
                <w:sz w:val="22"/>
              </w:rPr>
              <w:t>3</w:t>
            </w:r>
            <w:r w:rsidR="00365B1B" w:rsidRPr="00955834">
              <w:rPr>
                <w:noProof/>
                <w:webHidden/>
                <w:sz w:val="22"/>
              </w:rPr>
              <w:fldChar w:fldCharType="end"/>
            </w:r>
          </w:hyperlink>
        </w:p>
        <w:p w14:paraId="2C92BE9A" w14:textId="77777777" w:rsidR="0010713C" w:rsidRPr="00955834" w:rsidRDefault="002E1637">
          <w:pPr>
            <w:pStyle w:val="TOC1"/>
            <w:rPr>
              <w:rFonts w:asciiTheme="minorHAnsi" w:hAnsiTheme="minorHAnsi"/>
              <w:noProof/>
              <w:sz w:val="22"/>
              <w:lang w:eastAsia="en-029"/>
            </w:rPr>
          </w:pPr>
          <w:hyperlink w:anchor="_Toc102558905" w:history="1">
            <w:r w:rsidR="00365B1B" w:rsidRPr="00955834">
              <w:rPr>
                <w:rStyle w:val="Hyperlink"/>
                <w:noProof/>
                <w:sz w:val="22"/>
              </w:rPr>
              <w:t>List of Tables</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_Toc102558905 \h </w:instrText>
            </w:r>
            <w:r w:rsidR="00365B1B" w:rsidRPr="00955834">
              <w:rPr>
                <w:noProof/>
                <w:webHidden/>
                <w:sz w:val="22"/>
              </w:rPr>
            </w:r>
            <w:r w:rsidR="00365B1B" w:rsidRPr="00955834">
              <w:rPr>
                <w:noProof/>
                <w:webHidden/>
                <w:sz w:val="22"/>
              </w:rPr>
              <w:fldChar w:fldCharType="separate"/>
            </w:r>
            <w:r w:rsidR="00BC73C8">
              <w:rPr>
                <w:noProof/>
                <w:webHidden/>
                <w:sz w:val="22"/>
              </w:rPr>
              <w:t>3</w:t>
            </w:r>
            <w:r w:rsidR="00365B1B" w:rsidRPr="00955834">
              <w:rPr>
                <w:noProof/>
                <w:webHidden/>
                <w:sz w:val="22"/>
              </w:rPr>
              <w:fldChar w:fldCharType="end"/>
            </w:r>
          </w:hyperlink>
        </w:p>
        <w:p w14:paraId="14A6D358" w14:textId="77777777" w:rsidR="0010713C" w:rsidRPr="00955834" w:rsidRDefault="002E1637">
          <w:pPr>
            <w:pStyle w:val="TOC1"/>
            <w:rPr>
              <w:rFonts w:asciiTheme="minorHAnsi" w:hAnsiTheme="minorHAnsi"/>
              <w:noProof/>
              <w:sz w:val="22"/>
              <w:lang w:eastAsia="en-029"/>
            </w:rPr>
          </w:pPr>
          <w:hyperlink w:anchor="_Toc102558906" w:history="1">
            <w:r w:rsidR="00365B1B" w:rsidRPr="00955834">
              <w:rPr>
                <w:rStyle w:val="Hyperlink"/>
                <w:noProof/>
                <w:sz w:val="22"/>
              </w:rPr>
              <w:t>Executive Summary</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_Toc102558906 \h </w:instrText>
            </w:r>
            <w:r w:rsidR="00365B1B" w:rsidRPr="00955834">
              <w:rPr>
                <w:noProof/>
                <w:webHidden/>
                <w:sz w:val="22"/>
              </w:rPr>
            </w:r>
            <w:r w:rsidR="00365B1B" w:rsidRPr="00955834">
              <w:rPr>
                <w:noProof/>
                <w:webHidden/>
                <w:sz w:val="22"/>
              </w:rPr>
              <w:fldChar w:fldCharType="separate"/>
            </w:r>
            <w:r w:rsidR="00BC73C8">
              <w:rPr>
                <w:noProof/>
                <w:webHidden/>
                <w:sz w:val="22"/>
              </w:rPr>
              <w:t>4</w:t>
            </w:r>
            <w:r w:rsidR="00365B1B" w:rsidRPr="00955834">
              <w:rPr>
                <w:noProof/>
                <w:webHidden/>
                <w:sz w:val="22"/>
              </w:rPr>
              <w:fldChar w:fldCharType="end"/>
            </w:r>
          </w:hyperlink>
        </w:p>
        <w:p w14:paraId="5F068FB0" w14:textId="77777777" w:rsidR="0010713C" w:rsidRPr="00955834" w:rsidRDefault="002E1637">
          <w:pPr>
            <w:pStyle w:val="TOC1"/>
            <w:rPr>
              <w:rFonts w:asciiTheme="minorHAnsi" w:hAnsiTheme="minorHAnsi"/>
              <w:noProof/>
              <w:sz w:val="22"/>
              <w:lang w:eastAsia="en-029"/>
            </w:rPr>
          </w:pPr>
          <w:hyperlink w:anchor="_Toc102558907" w:history="1">
            <w:r w:rsidR="00365B1B" w:rsidRPr="00955834">
              <w:rPr>
                <w:rStyle w:val="Hyperlink"/>
                <w:rFonts w:cs="Times New Roman"/>
                <w:noProof/>
                <w:sz w:val="22"/>
              </w:rPr>
              <w:t>Overview of Saint Lucia’s Economy</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_Toc102558907 \h </w:instrText>
            </w:r>
            <w:r w:rsidR="00365B1B" w:rsidRPr="00955834">
              <w:rPr>
                <w:noProof/>
                <w:webHidden/>
                <w:sz w:val="22"/>
              </w:rPr>
            </w:r>
            <w:r w:rsidR="00365B1B" w:rsidRPr="00955834">
              <w:rPr>
                <w:noProof/>
                <w:webHidden/>
                <w:sz w:val="22"/>
              </w:rPr>
              <w:fldChar w:fldCharType="separate"/>
            </w:r>
            <w:r w:rsidR="00BC73C8">
              <w:rPr>
                <w:noProof/>
                <w:webHidden/>
                <w:sz w:val="22"/>
              </w:rPr>
              <w:t>4</w:t>
            </w:r>
            <w:r w:rsidR="00365B1B" w:rsidRPr="00955834">
              <w:rPr>
                <w:noProof/>
                <w:webHidden/>
                <w:sz w:val="22"/>
              </w:rPr>
              <w:fldChar w:fldCharType="end"/>
            </w:r>
          </w:hyperlink>
        </w:p>
        <w:p w14:paraId="19C34009" w14:textId="77777777" w:rsidR="0010713C" w:rsidRPr="00955834" w:rsidRDefault="002E1637">
          <w:pPr>
            <w:pStyle w:val="TOC1"/>
            <w:rPr>
              <w:rFonts w:asciiTheme="minorHAnsi" w:hAnsiTheme="minorHAnsi"/>
              <w:noProof/>
              <w:sz w:val="22"/>
              <w:lang w:eastAsia="en-029"/>
            </w:rPr>
          </w:pPr>
          <w:hyperlink w:anchor="_Toc102558908" w:history="1">
            <w:r w:rsidR="00365B1B" w:rsidRPr="00955834">
              <w:rPr>
                <w:rStyle w:val="Hyperlink"/>
                <w:rFonts w:cs="Times New Roman"/>
                <w:noProof/>
                <w:sz w:val="22"/>
              </w:rPr>
              <w:t>Fiscal Operations of the Central Government</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_Toc102558908 \h </w:instrText>
            </w:r>
            <w:r w:rsidR="00365B1B" w:rsidRPr="00955834">
              <w:rPr>
                <w:noProof/>
                <w:webHidden/>
                <w:sz w:val="22"/>
              </w:rPr>
            </w:r>
            <w:r w:rsidR="00365B1B" w:rsidRPr="00955834">
              <w:rPr>
                <w:noProof/>
                <w:webHidden/>
                <w:sz w:val="22"/>
              </w:rPr>
              <w:fldChar w:fldCharType="separate"/>
            </w:r>
            <w:r w:rsidR="00BC73C8">
              <w:rPr>
                <w:noProof/>
                <w:webHidden/>
                <w:sz w:val="22"/>
              </w:rPr>
              <w:t>5</w:t>
            </w:r>
            <w:r w:rsidR="00365B1B" w:rsidRPr="00955834">
              <w:rPr>
                <w:noProof/>
                <w:webHidden/>
                <w:sz w:val="22"/>
              </w:rPr>
              <w:fldChar w:fldCharType="end"/>
            </w:r>
          </w:hyperlink>
        </w:p>
        <w:p w14:paraId="727C5EBA" w14:textId="77777777" w:rsidR="0010713C" w:rsidRPr="00955834" w:rsidRDefault="002E1637">
          <w:pPr>
            <w:pStyle w:val="TOC1"/>
            <w:rPr>
              <w:rFonts w:asciiTheme="minorHAnsi" w:hAnsiTheme="minorHAnsi"/>
              <w:noProof/>
              <w:sz w:val="22"/>
              <w:lang w:eastAsia="en-029"/>
            </w:rPr>
          </w:pPr>
          <w:hyperlink w:anchor="_Toc102558909" w:history="1">
            <w:r w:rsidR="00365B1B" w:rsidRPr="00955834">
              <w:rPr>
                <w:rStyle w:val="Hyperlink"/>
                <w:rFonts w:cs="Times New Roman"/>
                <w:noProof/>
                <w:sz w:val="22"/>
              </w:rPr>
              <w:t>1. Total Public Sector Debt</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_Toc102558909 \h </w:instrText>
            </w:r>
            <w:r w:rsidR="00365B1B" w:rsidRPr="00955834">
              <w:rPr>
                <w:noProof/>
                <w:webHidden/>
                <w:sz w:val="22"/>
              </w:rPr>
            </w:r>
            <w:r w:rsidR="00365B1B" w:rsidRPr="00955834">
              <w:rPr>
                <w:noProof/>
                <w:webHidden/>
                <w:sz w:val="22"/>
              </w:rPr>
              <w:fldChar w:fldCharType="separate"/>
            </w:r>
            <w:r w:rsidR="00BC73C8">
              <w:rPr>
                <w:noProof/>
                <w:webHidden/>
                <w:sz w:val="22"/>
              </w:rPr>
              <w:t>5</w:t>
            </w:r>
            <w:r w:rsidR="00365B1B" w:rsidRPr="00955834">
              <w:rPr>
                <w:noProof/>
                <w:webHidden/>
                <w:sz w:val="22"/>
              </w:rPr>
              <w:fldChar w:fldCharType="end"/>
            </w:r>
          </w:hyperlink>
        </w:p>
        <w:p w14:paraId="284AEE06" w14:textId="77777777" w:rsidR="0010713C" w:rsidRPr="00955834" w:rsidRDefault="002E1637">
          <w:pPr>
            <w:pStyle w:val="TOC2"/>
            <w:rPr>
              <w:rFonts w:asciiTheme="minorHAnsi" w:hAnsiTheme="minorHAnsi"/>
              <w:noProof/>
              <w:sz w:val="22"/>
              <w:lang w:eastAsia="en-029"/>
            </w:rPr>
          </w:pPr>
          <w:hyperlink w:anchor="_Toc102558910" w:history="1">
            <w:r w:rsidR="00365B1B" w:rsidRPr="00955834">
              <w:rPr>
                <w:rStyle w:val="Hyperlink"/>
                <w:rFonts w:cs="Times New Roman"/>
                <w:noProof/>
                <w:sz w:val="22"/>
              </w:rPr>
              <w:t>1.1 Total Public Sector Debt by Residency</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_Toc102558910 \h </w:instrText>
            </w:r>
            <w:r w:rsidR="00365B1B" w:rsidRPr="00955834">
              <w:rPr>
                <w:noProof/>
                <w:webHidden/>
                <w:sz w:val="22"/>
              </w:rPr>
            </w:r>
            <w:r w:rsidR="00365B1B" w:rsidRPr="00955834">
              <w:rPr>
                <w:noProof/>
                <w:webHidden/>
                <w:sz w:val="22"/>
              </w:rPr>
              <w:fldChar w:fldCharType="separate"/>
            </w:r>
            <w:r w:rsidR="00BC73C8">
              <w:rPr>
                <w:noProof/>
                <w:webHidden/>
                <w:sz w:val="22"/>
              </w:rPr>
              <w:t>5</w:t>
            </w:r>
            <w:r w:rsidR="00365B1B" w:rsidRPr="00955834">
              <w:rPr>
                <w:noProof/>
                <w:webHidden/>
                <w:sz w:val="22"/>
              </w:rPr>
              <w:fldChar w:fldCharType="end"/>
            </w:r>
          </w:hyperlink>
        </w:p>
        <w:p w14:paraId="5D9A17BF" w14:textId="77777777" w:rsidR="0010713C" w:rsidRPr="00955834" w:rsidRDefault="002E1637">
          <w:pPr>
            <w:pStyle w:val="TOC2"/>
            <w:rPr>
              <w:rFonts w:asciiTheme="minorHAnsi" w:hAnsiTheme="minorHAnsi"/>
              <w:noProof/>
              <w:sz w:val="22"/>
              <w:lang w:eastAsia="en-029"/>
            </w:rPr>
          </w:pPr>
          <w:hyperlink w:anchor="_Toc102558911" w:history="1">
            <w:r w:rsidR="00365B1B" w:rsidRPr="00955834">
              <w:rPr>
                <w:rStyle w:val="Hyperlink"/>
                <w:rFonts w:cs="Times New Roman"/>
                <w:noProof/>
                <w:sz w:val="22"/>
              </w:rPr>
              <w:t>1.2 Total Public Debt by Borrower Category</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_Toc102558911 \h </w:instrText>
            </w:r>
            <w:r w:rsidR="00365B1B" w:rsidRPr="00955834">
              <w:rPr>
                <w:noProof/>
                <w:webHidden/>
                <w:sz w:val="22"/>
              </w:rPr>
            </w:r>
            <w:r w:rsidR="00365B1B" w:rsidRPr="00955834">
              <w:rPr>
                <w:noProof/>
                <w:webHidden/>
                <w:sz w:val="22"/>
              </w:rPr>
              <w:fldChar w:fldCharType="separate"/>
            </w:r>
            <w:r w:rsidR="00BC73C8">
              <w:rPr>
                <w:noProof/>
                <w:webHidden/>
                <w:sz w:val="22"/>
              </w:rPr>
              <w:t>6</w:t>
            </w:r>
            <w:r w:rsidR="00365B1B" w:rsidRPr="00955834">
              <w:rPr>
                <w:noProof/>
                <w:webHidden/>
                <w:sz w:val="22"/>
              </w:rPr>
              <w:fldChar w:fldCharType="end"/>
            </w:r>
          </w:hyperlink>
        </w:p>
        <w:p w14:paraId="7B8DE3BC" w14:textId="77777777" w:rsidR="0010713C" w:rsidRPr="00955834" w:rsidRDefault="002E1637">
          <w:pPr>
            <w:pStyle w:val="TOC2"/>
            <w:rPr>
              <w:rFonts w:asciiTheme="minorHAnsi" w:hAnsiTheme="minorHAnsi"/>
              <w:noProof/>
              <w:sz w:val="22"/>
              <w:lang w:eastAsia="en-029"/>
            </w:rPr>
          </w:pPr>
          <w:hyperlink w:anchor="_Toc102558912" w:history="1">
            <w:r w:rsidR="00365B1B" w:rsidRPr="00955834">
              <w:rPr>
                <w:rStyle w:val="Hyperlink"/>
                <w:rFonts w:cs="Times New Roman"/>
                <w:noProof/>
                <w:sz w:val="22"/>
              </w:rPr>
              <w:t>1.3 Total Public Debt by Instrument</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_Toc102558912 \h </w:instrText>
            </w:r>
            <w:r w:rsidR="00365B1B" w:rsidRPr="00955834">
              <w:rPr>
                <w:noProof/>
                <w:webHidden/>
                <w:sz w:val="22"/>
              </w:rPr>
            </w:r>
            <w:r w:rsidR="00365B1B" w:rsidRPr="00955834">
              <w:rPr>
                <w:noProof/>
                <w:webHidden/>
                <w:sz w:val="22"/>
              </w:rPr>
              <w:fldChar w:fldCharType="separate"/>
            </w:r>
            <w:r w:rsidR="00BC73C8">
              <w:rPr>
                <w:noProof/>
                <w:webHidden/>
                <w:sz w:val="22"/>
              </w:rPr>
              <w:t>6</w:t>
            </w:r>
            <w:r w:rsidR="00365B1B" w:rsidRPr="00955834">
              <w:rPr>
                <w:noProof/>
                <w:webHidden/>
                <w:sz w:val="22"/>
              </w:rPr>
              <w:fldChar w:fldCharType="end"/>
            </w:r>
          </w:hyperlink>
        </w:p>
        <w:p w14:paraId="0D668BFA" w14:textId="77777777" w:rsidR="0010713C" w:rsidRPr="00955834" w:rsidRDefault="002E1637">
          <w:pPr>
            <w:pStyle w:val="TOC1"/>
            <w:rPr>
              <w:rFonts w:asciiTheme="minorHAnsi" w:hAnsiTheme="minorHAnsi"/>
              <w:noProof/>
              <w:sz w:val="22"/>
              <w:lang w:eastAsia="en-029"/>
            </w:rPr>
          </w:pPr>
          <w:hyperlink w:anchor="_Toc102558913" w:history="1">
            <w:r w:rsidR="00365B1B" w:rsidRPr="00955834">
              <w:rPr>
                <w:rStyle w:val="Hyperlink"/>
                <w:rFonts w:cs="Times New Roman"/>
                <w:noProof/>
                <w:sz w:val="22"/>
              </w:rPr>
              <w:t>2. Total Public Domestic Debt</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_Toc102558913 \h </w:instrText>
            </w:r>
            <w:r w:rsidR="00365B1B" w:rsidRPr="00955834">
              <w:rPr>
                <w:noProof/>
                <w:webHidden/>
                <w:sz w:val="22"/>
              </w:rPr>
            </w:r>
            <w:r w:rsidR="00365B1B" w:rsidRPr="00955834">
              <w:rPr>
                <w:noProof/>
                <w:webHidden/>
                <w:sz w:val="22"/>
              </w:rPr>
              <w:fldChar w:fldCharType="separate"/>
            </w:r>
            <w:r w:rsidR="00BC73C8">
              <w:rPr>
                <w:noProof/>
                <w:webHidden/>
                <w:sz w:val="22"/>
              </w:rPr>
              <w:t>7</w:t>
            </w:r>
            <w:r w:rsidR="00365B1B" w:rsidRPr="00955834">
              <w:rPr>
                <w:noProof/>
                <w:webHidden/>
                <w:sz w:val="22"/>
              </w:rPr>
              <w:fldChar w:fldCharType="end"/>
            </w:r>
          </w:hyperlink>
        </w:p>
        <w:p w14:paraId="32149FDB" w14:textId="77777777" w:rsidR="0010713C" w:rsidRPr="00955834" w:rsidRDefault="002E1637">
          <w:pPr>
            <w:pStyle w:val="TOC2"/>
            <w:rPr>
              <w:rFonts w:asciiTheme="minorHAnsi" w:hAnsiTheme="minorHAnsi"/>
              <w:noProof/>
              <w:sz w:val="22"/>
              <w:lang w:eastAsia="en-029"/>
            </w:rPr>
          </w:pPr>
          <w:hyperlink w:anchor="_Toc102558914" w:history="1">
            <w:r w:rsidR="00365B1B" w:rsidRPr="00955834">
              <w:rPr>
                <w:rStyle w:val="Hyperlink"/>
                <w:rFonts w:cs="Times New Roman"/>
                <w:noProof/>
                <w:sz w:val="22"/>
              </w:rPr>
              <w:t>2.1 Domestic Debt by Borrower Category</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_Toc102558914 \h </w:instrText>
            </w:r>
            <w:r w:rsidR="00365B1B" w:rsidRPr="00955834">
              <w:rPr>
                <w:noProof/>
                <w:webHidden/>
                <w:sz w:val="22"/>
              </w:rPr>
            </w:r>
            <w:r w:rsidR="00365B1B" w:rsidRPr="00955834">
              <w:rPr>
                <w:noProof/>
                <w:webHidden/>
                <w:sz w:val="22"/>
              </w:rPr>
              <w:fldChar w:fldCharType="separate"/>
            </w:r>
            <w:r w:rsidR="00BC73C8">
              <w:rPr>
                <w:noProof/>
                <w:webHidden/>
                <w:sz w:val="22"/>
              </w:rPr>
              <w:t>7</w:t>
            </w:r>
            <w:r w:rsidR="00365B1B" w:rsidRPr="00955834">
              <w:rPr>
                <w:noProof/>
                <w:webHidden/>
                <w:sz w:val="22"/>
              </w:rPr>
              <w:fldChar w:fldCharType="end"/>
            </w:r>
          </w:hyperlink>
        </w:p>
        <w:p w14:paraId="5C456A93" w14:textId="77777777" w:rsidR="0010713C" w:rsidRPr="00955834" w:rsidRDefault="002E1637">
          <w:pPr>
            <w:pStyle w:val="TOC2"/>
            <w:rPr>
              <w:rFonts w:asciiTheme="minorHAnsi" w:hAnsiTheme="minorHAnsi"/>
              <w:noProof/>
              <w:sz w:val="22"/>
              <w:lang w:eastAsia="en-029"/>
            </w:rPr>
          </w:pPr>
          <w:hyperlink w:anchor="_Toc102558915" w:history="1">
            <w:r w:rsidR="00365B1B" w:rsidRPr="00955834">
              <w:rPr>
                <w:rStyle w:val="Hyperlink"/>
                <w:rFonts w:cs="Times New Roman"/>
                <w:noProof/>
                <w:sz w:val="22"/>
              </w:rPr>
              <w:t>2.2 Domestic Debt by Instrument</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_Toc102558915 \h </w:instrText>
            </w:r>
            <w:r w:rsidR="00365B1B" w:rsidRPr="00955834">
              <w:rPr>
                <w:noProof/>
                <w:webHidden/>
                <w:sz w:val="22"/>
              </w:rPr>
            </w:r>
            <w:r w:rsidR="00365B1B" w:rsidRPr="00955834">
              <w:rPr>
                <w:noProof/>
                <w:webHidden/>
                <w:sz w:val="22"/>
              </w:rPr>
              <w:fldChar w:fldCharType="separate"/>
            </w:r>
            <w:r w:rsidR="00BC73C8">
              <w:rPr>
                <w:noProof/>
                <w:webHidden/>
                <w:sz w:val="22"/>
              </w:rPr>
              <w:t>7</w:t>
            </w:r>
            <w:r w:rsidR="00365B1B" w:rsidRPr="00955834">
              <w:rPr>
                <w:noProof/>
                <w:webHidden/>
                <w:sz w:val="22"/>
              </w:rPr>
              <w:fldChar w:fldCharType="end"/>
            </w:r>
          </w:hyperlink>
        </w:p>
        <w:p w14:paraId="6E167752" w14:textId="77777777" w:rsidR="0010713C" w:rsidRPr="00955834" w:rsidRDefault="002E1637">
          <w:pPr>
            <w:pStyle w:val="TOC2"/>
            <w:rPr>
              <w:rFonts w:asciiTheme="minorHAnsi" w:hAnsiTheme="minorHAnsi"/>
              <w:noProof/>
              <w:sz w:val="22"/>
              <w:lang w:eastAsia="en-029"/>
            </w:rPr>
          </w:pPr>
          <w:hyperlink w:anchor="_Toc102558916" w:history="1">
            <w:r w:rsidR="00365B1B" w:rsidRPr="00955834">
              <w:rPr>
                <w:rStyle w:val="Hyperlink"/>
                <w:rFonts w:cs="Times New Roman"/>
                <w:noProof/>
                <w:sz w:val="22"/>
              </w:rPr>
              <w:t>2.3 Domestic Debt by Creditor Category</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_Toc102558916 \h </w:instrText>
            </w:r>
            <w:r w:rsidR="00365B1B" w:rsidRPr="00955834">
              <w:rPr>
                <w:noProof/>
                <w:webHidden/>
                <w:sz w:val="22"/>
              </w:rPr>
            </w:r>
            <w:r w:rsidR="00365B1B" w:rsidRPr="00955834">
              <w:rPr>
                <w:noProof/>
                <w:webHidden/>
                <w:sz w:val="22"/>
              </w:rPr>
              <w:fldChar w:fldCharType="separate"/>
            </w:r>
            <w:r w:rsidR="00BC73C8">
              <w:rPr>
                <w:noProof/>
                <w:webHidden/>
                <w:sz w:val="22"/>
              </w:rPr>
              <w:t>8</w:t>
            </w:r>
            <w:r w:rsidR="00365B1B" w:rsidRPr="00955834">
              <w:rPr>
                <w:noProof/>
                <w:webHidden/>
                <w:sz w:val="22"/>
              </w:rPr>
              <w:fldChar w:fldCharType="end"/>
            </w:r>
          </w:hyperlink>
        </w:p>
        <w:p w14:paraId="6EEC7089" w14:textId="77777777" w:rsidR="0010713C" w:rsidRPr="00955834" w:rsidRDefault="002E1637">
          <w:pPr>
            <w:pStyle w:val="TOC1"/>
            <w:rPr>
              <w:rFonts w:asciiTheme="minorHAnsi" w:hAnsiTheme="minorHAnsi"/>
              <w:noProof/>
              <w:sz w:val="22"/>
              <w:lang w:eastAsia="en-029"/>
            </w:rPr>
          </w:pPr>
          <w:hyperlink w:anchor="_Toc102558917" w:history="1">
            <w:r w:rsidR="00365B1B" w:rsidRPr="00955834">
              <w:rPr>
                <w:rStyle w:val="Hyperlink"/>
                <w:rFonts w:cs="Times New Roman"/>
                <w:noProof/>
                <w:sz w:val="22"/>
              </w:rPr>
              <w:t>3. Total Public External Debt</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_Toc102558917 \h </w:instrText>
            </w:r>
            <w:r w:rsidR="00365B1B" w:rsidRPr="00955834">
              <w:rPr>
                <w:noProof/>
                <w:webHidden/>
                <w:sz w:val="22"/>
              </w:rPr>
            </w:r>
            <w:r w:rsidR="00365B1B" w:rsidRPr="00955834">
              <w:rPr>
                <w:noProof/>
                <w:webHidden/>
                <w:sz w:val="22"/>
              </w:rPr>
              <w:fldChar w:fldCharType="separate"/>
            </w:r>
            <w:r w:rsidR="00BC73C8">
              <w:rPr>
                <w:noProof/>
                <w:webHidden/>
                <w:sz w:val="22"/>
              </w:rPr>
              <w:t>8</w:t>
            </w:r>
            <w:r w:rsidR="00365B1B" w:rsidRPr="00955834">
              <w:rPr>
                <w:noProof/>
                <w:webHidden/>
                <w:sz w:val="22"/>
              </w:rPr>
              <w:fldChar w:fldCharType="end"/>
            </w:r>
          </w:hyperlink>
        </w:p>
        <w:p w14:paraId="7FA61966" w14:textId="77777777" w:rsidR="0010713C" w:rsidRPr="00955834" w:rsidRDefault="002E1637">
          <w:pPr>
            <w:pStyle w:val="TOC2"/>
            <w:rPr>
              <w:rFonts w:asciiTheme="minorHAnsi" w:hAnsiTheme="minorHAnsi"/>
              <w:noProof/>
              <w:sz w:val="22"/>
              <w:lang w:eastAsia="en-029"/>
            </w:rPr>
          </w:pPr>
          <w:hyperlink w:anchor="_Toc102558918" w:history="1">
            <w:r w:rsidR="00365B1B" w:rsidRPr="00955834">
              <w:rPr>
                <w:rStyle w:val="Hyperlink"/>
                <w:rFonts w:cs="Times New Roman"/>
                <w:noProof/>
                <w:sz w:val="22"/>
              </w:rPr>
              <w:t>3.1 External Debt by Borrower Category</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_Toc102558918 \h </w:instrText>
            </w:r>
            <w:r w:rsidR="00365B1B" w:rsidRPr="00955834">
              <w:rPr>
                <w:noProof/>
                <w:webHidden/>
                <w:sz w:val="22"/>
              </w:rPr>
            </w:r>
            <w:r w:rsidR="00365B1B" w:rsidRPr="00955834">
              <w:rPr>
                <w:noProof/>
                <w:webHidden/>
                <w:sz w:val="22"/>
              </w:rPr>
              <w:fldChar w:fldCharType="separate"/>
            </w:r>
            <w:r w:rsidR="00BC73C8">
              <w:rPr>
                <w:noProof/>
                <w:webHidden/>
                <w:sz w:val="22"/>
              </w:rPr>
              <w:t>8</w:t>
            </w:r>
            <w:r w:rsidR="00365B1B" w:rsidRPr="00955834">
              <w:rPr>
                <w:noProof/>
                <w:webHidden/>
                <w:sz w:val="22"/>
              </w:rPr>
              <w:fldChar w:fldCharType="end"/>
            </w:r>
          </w:hyperlink>
        </w:p>
        <w:p w14:paraId="222951F9" w14:textId="77777777" w:rsidR="0010713C" w:rsidRPr="00955834" w:rsidRDefault="002E1637">
          <w:pPr>
            <w:pStyle w:val="TOC2"/>
            <w:rPr>
              <w:rFonts w:asciiTheme="minorHAnsi" w:hAnsiTheme="minorHAnsi"/>
              <w:noProof/>
              <w:sz w:val="22"/>
              <w:lang w:eastAsia="en-029"/>
            </w:rPr>
          </w:pPr>
          <w:hyperlink w:anchor="_Toc102558919" w:history="1">
            <w:r w:rsidR="00365B1B" w:rsidRPr="00955834">
              <w:rPr>
                <w:rStyle w:val="Hyperlink"/>
                <w:rFonts w:cs="Times New Roman"/>
                <w:noProof/>
                <w:sz w:val="22"/>
              </w:rPr>
              <w:t>3.2 External Debt by Currency Composition</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_Toc102558919 \h </w:instrText>
            </w:r>
            <w:r w:rsidR="00365B1B" w:rsidRPr="00955834">
              <w:rPr>
                <w:noProof/>
                <w:webHidden/>
                <w:sz w:val="22"/>
              </w:rPr>
            </w:r>
            <w:r w:rsidR="00365B1B" w:rsidRPr="00955834">
              <w:rPr>
                <w:noProof/>
                <w:webHidden/>
                <w:sz w:val="22"/>
              </w:rPr>
              <w:fldChar w:fldCharType="separate"/>
            </w:r>
            <w:r w:rsidR="00BC73C8">
              <w:rPr>
                <w:noProof/>
                <w:webHidden/>
                <w:sz w:val="22"/>
              </w:rPr>
              <w:t>9</w:t>
            </w:r>
            <w:r w:rsidR="00365B1B" w:rsidRPr="00955834">
              <w:rPr>
                <w:noProof/>
                <w:webHidden/>
                <w:sz w:val="22"/>
              </w:rPr>
              <w:fldChar w:fldCharType="end"/>
            </w:r>
          </w:hyperlink>
        </w:p>
        <w:p w14:paraId="263A70EF" w14:textId="77777777" w:rsidR="0010713C" w:rsidRPr="00955834" w:rsidRDefault="002E1637">
          <w:pPr>
            <w:pStyle w:val="TOC2"/>
            <w:rPr>
              <w:rFonts w:asciiTheme="minorHAnsi" w:hAnsiTheme="minorHAnsi"/>
              <w:noProof/>
              <w:sz w:val="22"/>
              <w:lang w:eastAsia="en-029"/>
            </w:rPr>
          </w:pPr>
          <w:hyperlink w:anchor="_Toc102558920" w:history="1">
            <w:r w:rsidR="00365B1B" w:rsidRPr="00955834">
              <w:rPr>
                <w:rStyle w:val="Hyperlink"/>
                <w:rFonts w:cs="Times New Roman"/>
                <w:noProof/>
                <w:sz w:val="22"/>
              </w:rPr>
              <w:t>3.3 External Debt by Interest Type</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_Toc102558920 \h </w:instrText>
            </w:r>
            <w:r w:rsidR="00365B1B" w:rsidRPr="00955834">
              <w:rPr>
                <w:noProof/>
                <w:webHidden/>
                <w:sz w:val="22"/>
              </w:rPr>
            </w:r>
            <w:r w:rsidR="00365B1B" w:rsidRPr="00955834">
              <w:rPr>
                <w:noProof/>
                <w:webHidden/>
                <w:sz w:val="22"/>
              </w:rPr>
              <w:fldChar w:fldCharType="separate"/>
            </w:r>
            <w:r w:rsidR="00BC73C8">
              <w:rPr>
                <w:noProof/>
                <w:webHidden/>
                <w:sz w:val="22"/>
              </w:rPr>
              <w:t>9</w:t>
            </w:r>
            <w:r w:rsidR="00365B1B" w:rsidRPr="00955834">
              <w:rPr>
                <w:noProof/>
                <w:webHidden/>
                <w:sz w:val="22"/>
              </w:rPr>
              <w:fldChar w:fldCharType="end"/>
            </w:r>
          </w:hyperlink>
        </w:p>
        <w:p w14:paraId="2B0B527F" w14:textId="77777777" w:rsidR="0010713C" w:rsidRPr="00955834" w:rsidRDefault="002E1637">
          <w:pPr>
            <w:pStyle w:val="TOC2"/>
            <w:rPr>
              <w:rFonts w:asciiTheme="minorHAnsi" w:hAnsiTheme="minorHAnsi"/>
              <w:noProof/>
              <w:sz w:val="22"/>
              <w:lang w:eastAsia="en-029"/>
            </w:rPr>
          </w:pPr>
          <w:hyperlink w:anchor="_Toc102558921" w:history="1">
            <w:r w:rsidR="00365B1B" w:rsidRPr="00955834">
              <w:rPr>
                <w:rStyle w:val="Hyperlink"/>
                <w:rFonts w:cs="Times New Roman"/>
                <w:noProof/>
                <w:sz w:val="22"/>
              </w:rPr>
              <w:t>3.3 External Debt by Creditor Category</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_Toc102558921 \h </w:instrText>
            </w:r>
            <w:r w:rsidR="00365B1B" w:rsidRPr="00955834">
              <w:rPr>
                <w:noProof/>
                <w:webHidden/>
                <w:sz w:val="22"/>
              </w:rPr>
            </w:r>
            <w:r w:rsidR="00365B1B" w:rsidRPr="00955834">
              <w:rPr>
                <w:noProof/>
                <w:webHidden/>
                <w:sz w:val="22"/>
              </w:rPr>
              <w:fldChar w:fldCharType="separate"/>
            </w:r>
            <w:r w:rsidR="00BC73C8">
              <w:rPr>
                <w:noProof/>
                <w:webHidden/>
                <w:sz w:val="22"/>
              </w:rPr>
              <w:t>10</w:t>
            </w:r>
            <w:r w:rsidR="00365B1B" w:rsidRPr="00955834">
              <w:rPr>
                <w:noProof/>
                <w:webHidden/>
                <w:sz w:val="22"/>
              </w:rPr>
              <w:fldChar w:fldCharType="end"/>
            </w:r>
          </w:hyperlink>
        </w:p>
        <w:p w14:paraId="6C68AB86" w14:textId="77777777" w:rsidR="0010713C" w:rsidRPr="00955834" w:rsidRDefault="002E1637">
          <w:pPr>
            <w:pStyle w:val="TOC2"/>
            <w:rPr>
              <w:rFonts w:asciiTheme="minorHAnsi" w:hAnsiTheme="minorHAnsi"/>
              <w:noProof/>
              <w:sz w:val="22"/>
              <w:lang w:eastAsia="en-029"/>
            </w:rPr>
          </w:pPr>
          <w:hyperlink w:anchor="_Toc102558922" w:history="1">
            <w:r w:rsidR="00365B1B" w:rsidRPr="00955834">
              <w:rPr>
                <w:rStyle w:val="Hyperlink"/>
                <w:rFonts w:cs="Times New Roman"/>
                <w:noProof/>
                <w:sz w:val="22"/>
              </w:rPr>
              <w:t>3.4 External Debt by Instrument</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_Toc102558922 \h </w:instrText>
            </w:r>
            <w:r w:rsidR="00365B1B" w:rsidRPr="00955834">
              <w:rPr>
                <w:noProof/>
                <w:webHidden/>
                <w:sz w:val="22"/>
              </w:rPr>
            </w:r>
            <w:r w:rsidR="00365B1B" w:rsidRPr="00955834">
              <w:rPr>
                <w:noProof/>
                <w:webHidden/>
                <w:sz w:val="22"/>
              </w:rPr>
              <w:fldChar w:fldCharType="separate"/>
            </w:r>
            <w:r w:rsidR="00BC73C8">
              <w:rPr>
                <w:noProof/>
                <w:webHidden/>
                <w:sz w:val="22"/>
              </w:rPr>
              <w:t>10</w:t>
            </w:r>
            <w:r w:rsidR="00365B1B" w:rsidRPr="00955834">
              <w:rPr>
                <w:noProof/>
                <w:webHidden/>
                <w:sz w:val="22"/>
              </w:rPr>
              <w:fldChar w:fldCharType="end"/>
            </w:r>
          </w:hyperlink>
        </w:p>
        <w:p w14:paraId="06892846" w14:textId="77777777" w:rsidR="0010713C" w:rsidRPr="00955834" w:rsidRDefault="002E1637">
          <w:pPr>
            <w:pStyle w:val="TOC2"/>
            <w:rPr>
              <w:rFonts w:asciiTheme="minorHAnsi" w:hAnsiTheme="minorHAnsi"/>
              <w:noProof/>
              <w:sz w:val="22"/>
              <w:lang w:eastAsia="en-029"/>
            </w:rPr>
          </w:pPr>
          <w:hyperlink w:anchor="_Toc102558923" w:history="1">
            <w:r w:rsidR="00365B1B" w:rsidRPr="00955834">
              <w:rPr>
                <w:rStyle w:val="Hyperlink"/>
                <w:rFonts w:cs="Times New Roman"/>
                <w:noProof/>
                <w:sz w:val="22"/>
              </w:rPr>
              <w:t>3.5 External Debt by Economic Sector</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_Toc102558923 \h </w:instrText>
            </w:r>
            <w:r w:rsidR="00365B1B" w:rsidRPr="00955834">
              <w:rPr>
                <w:noProof/>
                <w:webHidden/>
                <w:sz w:val="22"/>
              </w:rPr>
            </w:r>
            <w:r w:rsidR="00365B1B" w:rsidRPr="00955834">
              <w:rPr>
                <w:noProof/>
                <w:webHidden/>
                <w:sz w:val="22"/>
              </w:rPr>
              <w:fldChar w:fldCharType="separate"/>
            </w:r>
            <w:r w:rsidR="00BC73C8">
              <w:rPr>
                <w:noProof/>
                <w:webHidden/>
                <w:sz w:val="22"/>
              </w:rPr>
              <w:t>11</w:t>
            </w:r>
            <w:r w:rsidR="00365B1B" w:rsidRPr="00955834">
              <w:rPr>
                <w:noProof/>
                <w:webHidden/>
                <w:sz w:val="22"/>
              </w:rPr>
              <w:fldChar w:fldCharType="end"/>
            </w:r>
          </w:hyperlink>
        </w:p>
        <w:p w14:paraId="56DAAAD1" w14:textId="77777777" w:rsidR="0010713C" w:rsidRPr="00955834" w:rsidRDefault="002E1637">
          <w:pPr>
            <w:pStyle w:val="TOC1"/>
            <w:rPr>
              <w:rFonts w:asciiTheme="minorHAnsi" w:hAnsiTheme="minorHAnsi"/>
              <w:noProof/>
              <w:sz w:val="22"/>
              <w:lang w:eastAsia="en-029"/>
            </w:rPr>
          </w:pPr>
          <w:hyperlink w:anchor="_Toc102558924" w:history="1">
            <w:r w:rsidR="00365B1B" w:rsidRPr="00955834">
              <w:rPr>
                <w:rStyle w:val="Hyperlink"/>
                <w:rFonts w:cs="Times New Roman"/>
                <w:noProof/>
                <w:sz w:val="22"/>
              </w:rPr>
              <w:t>4. Central Government Debt</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_Toc102558924 \h </w:instrText>
            </w:r>
            <w:r w:rsidR="00365B1B" w:rsidRPr="00955834">
              <w:rPr>
                <w:noProof/>
                <w:webHidden/>
                <w:sz w:val="22"/>
              </w:rPr>
            </w:r>
            <w:r w:rsidR="00365B1B" w:rsidRPr="00955834">
              <w:rPr>
                <w:noProof/>
                <w:webHidden/>
                <w:sz w:val="22"/>
              </w:rPr>
              <w:fldChar w:fldCharType="separate"/>
            </w:r>
            <w:r w:rsidR="00BC73C8">
              <w:rPr>
                <w:noProof/>
                <w:webHidden/>
                <w:sz w:val="22"/>
              </w:rPr>
              <w:t>11</w:t>
            </w:r>
            <w:r w:rsidR="00365B1B" w:rsidRPr="00955834">
              <w:rPr>
                <w:noProof/>
                <w:webHidden/>
                <w:sz w:val="22"/>
              </w:rPr>
              <w:fldChar w:fldCharType="end"/>
            </w:r>
          </w:hyperlink>
        </w:p>
        <w:p w14:paraId="1DD80645" w14:textId="77777777" w:rsidR="0010713C" w:rsidRPr="00955834" w:rsidRDefault="002E1637">
          <w:pPr>
            <w:pStyle w:val="TOC2"/>
            <w:rPr>
              <w:rFonts w:asciiTheme="minorHAnsi" w:hAnsiTheme="minorHAnsi"/>
              <w:noProof/>
              <w:sz w:val="22"/>
              <w:lang w:eastAsia="en-029"/>
            </w:rPr>
          </w:pPr>
          <w:hyperlink w:anchor="_Toc102558925" w:history="1">
            <w:r w:rsidR="00365B1B" w:rsidRPr="00955834">
              <w:rPr>
                <w:rStyle w:val="Hyperlink"/>
                <w:rFonts w:cs="Times New Roman"/>
                <w:noProof/>
                <w:sz w:val="22"/>
              </w:rPr>
              <w:t>4.1 Central Government Debt by Residency</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_Toc102558925 \h </w:instrText>
            </w:r>
            <w:r w:rsidR="00365B1B" w:rsidRPr="00955834">
              <w:rPr>
                <w:noProof/>
                <w:webHidden/>
                <w:sz w:val="22"/>
              </w:rPr>
            </w:r>
            <w:r w:rsidR="00365B1B" w:rsidRPr="00955834">
              <w:rPr>
                <w:noProof/>
                <w:webHidden/>
                <w:sz w:val="22"/>
              </w:rPr>
              <w:fldChar w:fldCharType="separate"/>
            </w:r>
            <w:r w:rsidR="00BC73C8">
              <w:rPr>
                <w:noProof/>
                <w:webHidden/>
                <w:sz w:val="22"/>
              </w:rPr>
              <w:t>11</w:t>
            </w:r>
            <w:r w:rsidR="00365B1B" w:rsidRPr="00955834">
              <w:rPr>
                <w:noProof/>
                <w:webHidden/>
                <w:sz w:val="22"/>
              </w:rPr>
              <w:fldChar w:fldCharType="end"/>
            </w:r>
          </w:hyperlink>
        </w:p>
        <w:p w14:paraId="03753F97" w14:textId="77777777" w:rsidR="0010713C" w:rsidRPr="00955834" w:rsidRDefault="002E1637">
          <w:pPr>
            <w:pStyle w:val="TOC2"/>
            <w:rPr>
              <w:rFonts w:asciiTheme="minorHAnsi" w:hAnsiTheme="minorHAnsi"/>
              <w:noProof/>
              <w:sz w:val="22"/>
              <w:lang w:eastAsia="en-029"/>
            </w:rPr>
          </w:pPr>
          <w:hyperlink w:anchor="_Toc102558926" w:history="1">
            <w:r w:rsidR="00365B1B" w:rsidRPr="00955834">
              <w:rPr>
                <w:rStyle w:val="Hyperlink"/>
                <w:rFonts w:cs="Times New Roman"/>
                <w:noProof/>
                <w:sz w:val="22"/>
              </w:rPr>
              <w:t>4.2 Central Government Debt by Instrument</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_Toc102558926 \h </w:instrText>
            </w:r>
            <w:r w:rsidR="00365B1B" w:rsidRPr="00955834">
              <w:rPr>
                <w:noProof/>
                <w:webHidden/>
                <w:sz w:val="22"/>
              </w:rPr>
            </w:r>
            <w:r w:rsidR="00365B1B" w:rsidRPr="00955834">
              <w:rPr>
                <w:noProof/>
                <w:webHidden/>
                <w:sz w:val="22"/>
              </w:rPr>
              <w:fldChar w:fldCharType="separate"/>
            </w:r>
            <w:r w:rsidR="00BC73C8">
              <w:rPr>
                <w:noProof/>
                <w:webHidden/>
                <w:sz w:val="22"/>
              </w:rPr>
              <w:t>12</w:t>
            </w:r>
            <w:r w:rsidR="00365B1B" w:rsidRPr="00955834">
              <w:rPr>
                <w:noProof/>
                <w:webHidden/>
                <w:sz w:val="22"/>
              </w:rPr>
              <w:fldChar w:fldCharType="end"/>
            </w:r>
          </w:hyperlink>
        </w:p>
        <w:p w14:paraId="44153203" w14:textId="77777777" w:rsidR="0010713C" w:rsidRPr="00955834" w:rsidRDefault="002E1637">
          <w:pPr>
            <w:pStyle w:val="TOC2"/>
            <w:rPr>
              <w:rFonts w:asciiTheme="minorHAnsi" w:hAnsiTheme="minorHAnsi"/>
              <w:noProof/>
              <w:sz w:val="22"/>
              <w:lang w:eastAsia="en-029"/>
            </w:rPr>
          </w:pPr>
          <w:hyperlink w:anchor="_Toc102558927" w:history="1">
            <w:r w:rsidR="00365B1B" w:rsidRPr="00955834">
              <w:rPr>
                <w:rStyle w:val="Hyperlink"/>
                <w:rFonts w:cs="Times New Roman"/>
                <w:noProof/>
                <w:sz w:val="22"/>
              </w:rPr>
              <w:t>4.3 Central Government by Currency Composition</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_Toc102558927 \h </w:instrText>
            </w:r>
            <w:r w:rsidR="00365B1B" w:rsidRPr="00955834">
              <w:rPr>
                <w:noProof/>
                <w:webHidden/>
                <w:sz w:val="22"/>
              </w:rPr>
            </w:r>
            <w:r w:rsidR="00365B1B" w:rsidRPr="00955834">
              <w:rPr>
                <w:noProof/>
                <w:webHidden/>
                <w:sz w:val="22"/>
              </w:rPr>
              <w:fldChar w:fldCharType="separate"/>
            </w:r>
            <w:r w:rsidR="00BC73C8">
              <w:rPr>
                <w:noProof/>
                <w:webHidden/>
                <w:sz w:val="22"/>
              </w:rPr>
              <w:t>12</w:t>
            </w:r>
            <w:r w:rsidR="00365B1B" w:rsidRPr="00955834">
              <w:rPr>
                <w:noProof/>
                <w:webHidden/>
                <w:sz w:val="22"/>
              </w:rPr>
              <w:fldChar w:fldCharType="end"/>
            </w:r>
          </w:hyperlink>
        </w:p>
        <w:p w14:paraId="7C2C72BB" w14:textId="77777777" w:rsidR="0010713C" w:rsidRPr="00955834" w:rsidRDefault="002E1637">
          <w:pPr>
            <w:pStyle w:val="TOC1"/>
            <w:rPr>
              <w:rFonts w:asciiTheme="minorHAnsi" w:hAnsiTheme="minorHAnsi"/>
              <w:noProof/>
              <w:sz w:val="22"/>
              <w:lang w:eastAsia="en-029"/>
            </w:rPr>
          </w:pPr>
          <w:hyperlink w:anchor="_Toc102558928" w:history="1">
            <w:r w:rsidR="00365B1B" w:rsidRPr="00955834">
              <w:rPr>
                <w:rStyle w:val="Hyperlink"/>
                <w:rFonts w:cs="Times New Roman"/>
                <w:noProof/>
                <w:sz w:val="22"/>
              </w:rPr>
              <w:t>5. RGSM and Private Placement Security Activity</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_Toc102558928 \h </w:instrText>
            </w:r>
            <w:r w:rsidR="00365B1B" w:rsidRPr="00955834">
              <w:rPr>
                <w:noProof/>
                <w:webHidden/>
                <w:sz w:val="22"/>
              </w:rPr>
            </w:r>
            <w:r w:rsidR="00365B1B" w:rsidRPr="00955834">
              <w:rPr>
                <w:noProof/>
                <w:webHidden/>
                <w:sz w:val="22"/>
              </w:rPr>
              <w:fldChar w:fldCharType="separate"/>
            </w:r>
            <w:r w:rsidR="00BC73C8">
              <w:rPr>
                <w:noProof/>
                <w:webHidden/>
                <w:sz w:val="22"/>
              </w:rPr>
              <w:t>13</w:t>
            </w:r>
            <w:r w:rsidR="00365B1B" w:rsidRPr="00955834">
              <w:rPr>
                <w:noProof/>
                <w:webHidden/>
                <w:sz w:val="22"/>
              </w:rPr>
              <w:fldChar w:fldCharType="end"/>
            </w:r>
          </w:hyperlink>
        </w:p>
        <w:p w14:paraId="503A6160" w14:textId="77777777" w:rsidR="0010713C" w:rsidRPr="00955834" w:rsidRDefault="002E1637">
          <w:pPr>
            <w:pStyle w:val="TOC2"/>
            <w:rPr>
              <w:rFonts w:asciiTheme="minorHAnsi" w:hAnsiTheme="minorHAnsi"/>
              <w:noProof/>
              <w:sz w:val="22"/>
              <w:lang w:eastAsia="en-029"/>
            </w:rPr>
          </w:pPr>
          <w:hyperlink w:anchor="_Toc102558929" w:history="1">
            <w:r w:rsidR="00365B1B" w:rsidRPr="00955834">
              <w:rPr>
                <w:rStyle w:val="Hyperlink"/>
                <w:rFonts w:cs="Times New Roman"/>
                <w:noProof/>
                <w:sz w:val="22"/>
              </w:rPr>
              <w:t>5.1 Regional Government Securities Market (RGSM) Securities</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_Toc102558929 \h </w:instrText>
            </w:r>
            <w:r w:rsidR="00365B1B" w:rsidRPr="00955834">
              <w:rPr>
                <w:noProof/>
                <w:webHidden/>
                <w:sz w:val="22"/>
              </w:rPr>
            </w:r>
            <w:r w:rsidR="00365B1B" w:rsidRPr="00955834">
              <w:rPr>
                <w:noProof/>
                <w:webHidden/>
                <w:sz w:val="22"/>
              </w:rPr>
              <w:fldChar w:fldCharType="separate"/>
            </w:r>
            <w:r w:rsidR="00BC73C8">
              <w:rPr>
                <w:noProof/>
                <w:webHidden/>
                <w:sz w:val="22"/>
              </w:rPr>
              <w:t>13</w:t>
            </w:r>
            <w:r w:rsidR="00365B1B" w:rsidRPr="00955834">
              <w:rPr>
                <w:noProof/>
                <w:webHidden/>
                <w:sz w:val="22"/>
              </w:rPr>
              <w:fldChar w:fldCharType="end"/>
            </w:r>
          </w:hyperlink>
        </w:p>
        <w:p w14:paraId="6AB67A03" w14:textId="77777777" w:rsidR="0010713C" w:rsidRPr="00955834" w:rsidRDefault="002E1637">
          <w:pPr>
            <w:pStyle w:val="TOC2"/>
            <w:rPr>
              <w:rFonts w:asciiTheme="minorHAnsi" w:hAnsiTheme="minorHAnsi"/>
              <w:noProof/>
              <w:sz w:val="22"/>
              <w:lang w:eastAsia="en-029"/>
            </w:rPr>
          </w:pPr>
          <w:hyperlink w:anchor="_Toc102558930" w:history="1">
            <w:r w:rsidR="00365B1B" w:rsidRPr="00955834">
              <w:rPr>
                <w:rStyle w:val="Hyperlink"/>
                <w:rFonts w:cs="Times New Roman"/>
                <w:noProof/>
                <w:sz w:val="22"/>
              </w:rPr>
              <w:t>5.2 Private Placement Securities</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_Toc102558930 \h </w:instrText>
            </w:r>
            <w:r w:rsidR="00365B1B" w:rsidRPr="00955834">
              <w:rPr>
                <w:noProof/>
                <w:webHidden/>
                <w:sz w:val="22"/>
              </w:rPr>
            </w:r>
            <w:r w:rsidR="00365B1B" w:rsidRPr="00955834">
              <w:rPr>
                <w:noProof/>
                <w:webHidden/>
                <w:sz w:val="22"/>
              </w:rPr>
              <w:fldChar w:fldCharType="separate"/>
            </w:r>
            <w:r w:rsidR="00BC73C8">
              <w:rPr>
                <w:noProof/>
                <w:webHidden/>
                <w:sz w:val="22"/>
              </w:rPr>
              <w:t>13</w:t>
            </w:r>
            <w:r w:rsidR="00365B1B" w:rsidRPr="00955834">
              <w:rPr>
                <w:noProof/>
                <w:webHidden/>
                <w:sz w:val="22"/>
              </w:rPr>
              <w:fldChar w:fldCharType="end"/>
            </w:r>
          </w:hyperlink>
        </w:p>
        <w:p w14:paraId="7573B2A2" w14:textId="77777777" w:rsidR="0010713C" w:rsidRPr="00955834" w:rsidRDefault="002E1637">
          <w:pPr>
            <w:pStyle w:val="TOC1"/>
            <w:rPr>
              <w:rFonts w:asciiTheme="minorHAnsi" w:hAnsiTheme="minorHAnsi"/>
              <w:noProof/>
              <w:sz w:val="22"/>
              <w:lang w:eastAsia="en-029"/>
            </w:rPr>
          </w:pPr>
          <w:hyperlink w:anchor="_Toc102558931" w:history="1">
            <w:r w:rsidR="00365B1B" w:rsidRPr="00955834">
              <w:rPr>
                <w:rStyle w:val="Hyperlink"/>
                <w:rFonts w:cs="Times New Roman"/>
                <w:noProof/>
                <w:sz w:val="22"/>
              </w:rPr>
              <w:t>6. Central Government Debt Service and Disbursements</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_Toc102558931 \h </w:instrText>
            </w:r>
            <w:r w:rsidR="00365B1B" w:rsidRPr="00955834">
              <w:rPr>
                <w:noProof/>
                <w:webHidden/>
                <w:sz w:val="22"/>
              </w:rPr>
            </w:r>
            <w:r w:rsidR="00365B1B" w:rsidRPr="00955834">
              <w:rPr>
                <w:noProof/>
                <w:webHidden/>
                <w:sz w:val="22"/>
              </w:rPr>
              <w:fldChar w:fldCharType="separate"/>
            </w:r>
            <w:r w:rsidR="00BC73C8">
              <w:rPr>
                <w:noProof/>
                <w:webHidden/>
                <w:sz w:val="22"/>
              </w:rPr>
              <w:t>14</w:t>
            </w:r>
            <w:r w:rsidR="00365B1B" w:rsidRPr="00955834">
              <w:rPr>
                <w:noProof/>
                <w:webHidden/>
                <w:sz w:val="22"/>
              </w:rPr>
              <w:fldChar w:fldCharType="end"/>
            </w:r>
          </w:hyperlink>
        </w:p>
        <w:p w14:paraId="7298E01E" w14:textId="77777777" w:rsidR="0010713C" w:rsidRPr="00955834" w:rsidRDefault="002E1637">
          <w:pPr>
            <w:pStyle w:val="TOC2"/>
            <w:rPr>
              <w:rFonts w:asciiTheme="minorHAnsi" w:hAnsiTheme="minorHAnsi"/>
              <w:noProof/>
              <w:sz w:val="22"/>
              <w:lang w:eastAsia="en-029"/>
            </w:rPr>
          </w:pPr>
          <w:hyperlink w:anchor="_Toc102558932" w:history="1">
            <w:r w:rsidR="00365B1B" w:rsidRPr="00955834">
              <w:rPr>
                <w:rStyle w:val="Hyperlink"/>
                <w:rFonts w:cs="Times New Roman"/>
                <w:noProof/>
                <w:sz w:val="22"/>
              </w:rPr>
              <w:t>6.1 Central Government Total Debt Service</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_Toc102558932 \h </w:instrText>
            </w:r>
            <w:r w:rsidR="00365B1B" w:rsidRPr="00955834">
              <w:rPr>
                <w:noProof/>
                <w:webHidden/>
                <w:sz w:val="22"/>
              </w:rPr>
            </w:r>
            <w:r w:rsidR="00365B1B" w:rsidRPr="00955834">
              <w:rPr>
                <w:noProof/>
                <w:webHidden/>
                <w:sz w:val="22"/>
              </w:rPr>
              <w:fldChar w:fldCharType="separate"/>
            </w:r>
            <w:r w:rsidR="00BC73C8">
              <w:rPr>
                <w:noProof/>
                <w:webHidden/>
                <w:sz w:val="22"/>
              </w:rPr>
              <w:t>14</w:t>
            </w:r>
            <w:r w:rsidR="00365B1B" w:rsidRPr="00955834">
              <w:rPr>
                <w:noProof/>
                <w:webHidden/>
                <w:sz w:val="22"/>
              </w:rPr>
              <w:fldChar w:fldCharType="end"/>
            </w:r>
          </w:hyperlink>
        </w:p>
        <w:p w14:paraId="6DDAD50F" w14:textId="77777777" w:rsidR="0010713C" w:rsidRPr="00955834" w:rsidRDefault="002E1637">
          <w:pPr>
            <w:pStyle w:val="TOC2"/>
            <w:rPr>
              <w:rFonts w:asciiTheme="minorHAnsi" w:hAnsiTheme="minorHAnsi"/>
              <w:noProof/>
              <w:sz w:val="22"/>
              <w:lang w:eastAsia="en-029"/>
            </w:rPr>
          </w:pPr>
          <w:hyperlink w:anchor="_Toc102558933" w:history="1">
            <w:r w:rsidR="00365B1B" w:rsidRPr="00955834">
              <w:rPr>
                <w:rStyle w:val="Hyperlink"/>
                <w:rFonts w:cs="Times New Roman"/>
                <w:noProof/>
                <w:sz w:val="22"/>
              </w:rPr>
              <w:t>6.2 Central Government Principal and Interest Payments</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_Toc102558933 \h </w:instrText>
            </w:r>
            <w:r w:rsidR="00365B1B" w:rsidRPr="00955834">
              <w:rPr>
                <w:noProof/>
                <w:webHidden/>
                <w:sz w:val="22"/>
              </w:rPr>
            </w:r>
            <w:r w:rsidR="00365B1B" w:rsidRPr="00955834">
              <w:rPr>
                <w:noProof/>
                <w:webHidden/>
                <w:sz w:val="22"/>
              </w:rPr>
              <w:fldChar w:fldCharType="separate"/>
            </w:r>
            <w:r w:rsidR="00BC73C8">
              <w:rPr>
                <w:noProof/>
                <w:webHidden/>
                <w:sz w:val="22"/>
              </w:rPr>
              <w:t>15</w:t>
            </w:r>
            <w:r w:rsidR="00365B1B" w:rsidRPr="00955834">
              <w:rPr>
                <w:noProof/>
                <w:webHidden/>
                <w:sz w:val="22"/>
              </w:rPr>
              <w:fldChar w:fldCharType="end"/>
            </w:r>
          </w:hyperlink>
        </w:p>
        <w:p w14:paraId="7F2C8B85" w14:textId="77777777" w:rsidR="0010713C" w:rsidRPr="00955834" w:rsidRDefault="002E1637">
          <w:pPr>
            <w:pStyle w:val="TOC2"/>
            <w:rPr>
              <w:rFonts w:asciiTheme="minorHAnsi" w:hAnsiTheme="minorHAnsi"/>
              <w:noProof/>
              <w:sz w:val="22"/>
              <w:lang w:eastAsia="en-029"/>
            </w:rPr>
          </w:pPr>
          <w:hyperlink w:anchor="_Toc102558934" w:history="1">
            <w:r w:rsidR="00365B1B" w:rsidRPr="00955834">
              <w:rPr>
                <w:rStyle w:val="Hyperlink"/>
                <w:rFonts w:cs="Times New Roman"/>
                <w:noProof/>
                <w:sz w:val="22"/>
              </w:rPr>
              <w:t>6.3 Central Government Disbursements</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_Toc102558934 \h </w:instrText>
            </w:r>
            <w:r w:rsidR="00365B1B" w:rsidRPr="00955834">
              <w:rPr>
                <w:noProof/>
                <w:webHidden/>
                <w:sz w:val="22"/>
              </w:rPr>
            </w:r>
            <w:r w:rsidR="00365B1B" w:rsidRPr="00955834">
              <w:rPr>
                <w:noProof/>
                <w:webHidden/>
                <w:sz w:val="22"/>
              </w:rPr>
              <w:fldChar w:fldCharType="separate"/>
            </w:r>
            <w:r w:rsidR="00BC73C8">
              <w:rPr>
                <w:noProof/>
                <w:webHidden/>
                <w:sz w:val="22"/>
              </w:rPr>
              <w:t>15</w:t>
            </w:r>
            <w:r w:rsidR="00365B1B" w:rsidRPr="00955834">
              <w:rPr>
                <w:noProof/>
                <w:webHidden/>
                <w:sz w:val="22"/>
              </w:rPr>
              <w:fldChar w:fldCharType="end"/>
            </w:r>
          </w:hyperlink>
        </w:p>
        <w:p w14:paraId="6AF15CE2" w14:textId="77777777" w:rsidR="0010713C" w:rsidRPr="00955834" w:rsidRDefault="002E1637">
          <w:pPr>
            <w:pStyle w:val="TOC1"/>
            <w:rPr>
              <w:rFonts w:asciiTheme="minorHAnsi" w:hAnsiTheme="minorHAnsi"/>
              <w:noProof/>
              <w:sz w:val="22"/>
              <w:lang w:eastAsia="en-029"/>
            </w:rPr>
          </w:pPr>
          <w:hyperlink w:anchor="_Toc102558935" w:history="1">
            <w:r w:rsidR="00365B1B" w:rsidRPr="00955834">
              <w:rPr>
                <w:rStyle w:val="Hyperlink"/>
                <w:rFonts w:cs="Times New Roman"/>
                <w:noProof/>
                <w:sz w:val="22"/>
              </w:rPr>
              <w:t>7. Analysis of Debt Portfolio and Risk Evaluation</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_Toc102558935 \h </w:instrText>
            </w:r>
            <w:r w:rsidR="00365B1B" w:rsidRPr="00955834">
              <w:rPr>
                <w:noProof/>
                <w:webHidden/>
                <w:sz w:val="22"/>
              </w:rPr>
            </w:r>
            <w:r w:rsidR="00365B1B" w:rsidRPr="00955834">
              <w:rPr>
                <w:noProof/>
                <w:webHidden/>
                <w:sz w:val="22"/>
              </w:rPr>
              <w:fldChar w:fldCharType="separate"/>
            </w:r>
            <w:r w:rsidR="00BC73C8">
              <w:rPr>
                <w:noProof/>
                <w:webHidden/>
                <w:sz w:val="22"/>
              </w:rPr>
              <w:t>15</w:t>
            </w:r>
            <w:r w:rsidR="00365B1B" w:rsidRPr="00955834">
              <w:rPr>
                <w:noProof/>
                <w:webHidden/>
                <w:sz w:val="22"/>
              </w:rPr>
              <w:fldChar w:fldCharType="end"/>
            </w:r>
          </w:hyperlink>
        </w:p>
        <w:p w14:paraId="488535C6" w14:textId="77777777" w:rsidR="0010713C" w:rsidRPr="00955834" w:rsidRDefault="002E1637">
          <w:pPr>
            <w:pStyle w:val="TOC2"/>
            <w:rPr>
              <w:rFonts w:asciiTheme="minorHAnsi" w:hAnsiTheme="minorHAnsi"/>
              <w:noProof/>
              <w:sz w:val="22"/>
              <w:lang w:eastAsia="en-029"/>
            </w:rPr>
          </w:pPr>
          <w:hyperlink w:anchor="_Toc102558936" w:history="1">
            <w:r w:rsidR="00365B1B" w:rsidRPr="00955834">
              <w:rPr>
                <w:rStyle w:val="Hyperlink"/>
                <w:rFonts w:cs="Times New Roman"/>
                <w:noProof/>
                <w:sz w:val="22"/>
              </w:rPr>
              <w:t>7.1 The Average Time to Maturity (ATM)</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_Toc102558936 \h </w:instrText>
            </w:r>
            <w:r w:rsidR="00365B1B" w:rsidRPr="00955834">
              <w:rPr>
                <w:noProof/>
                <w:webHidden/>
                <w:sz w:val="22"/>
              </w:rPr>
            </w:r>
            <w:r w:rsidR="00365B1B" w:rsidRPr="00955834">
              <w:rPr>
                <w:noProof/>
                <w:webHidden/>
                <w:sz w:val="22"/>
              </w:rPr>
              <w:fldChar w:fldCharType="separate"/>
            </w:r>
            <w:r w:rsidR="00BC73C8">
              <w:rPr>
                <w:noProof/>
                <w:webHidden/>
                <w:sz w:val="22"/>
              </w:rPr>
              <w:t>16</w:t>
            </w:r>
            <w:r w:rsidR="00365B1B" w:rsidRPr="00955834">
              <w:rPr>
                <w:noProof/>
                <w:webHidden/>
                <w:sz w:val="22"/>
              </w:rPr>
              <w:fldChar w:fldCharType="end"/>
            </w:r>
          </w:hyperlink>
        </w:p>
        <w:p w14:paraId="396CC785" w14:textId="77777777" w:rsidR="0010713C" w:rsidRPr="00955834" w:rsidRDefault="002E1637">
          <w:pPr>
            <w:pStyle w:val="TOC2"/>
            <w:rPr>
              <w:rFonts w:asciiTheme="minorHAnsi" w:hAnsiTheme="minorHAnsi"/>
              <w:noProof/>
              <w:sz w:val="22"/>
              <w:lang w:eastAsia="en-029"/>
            </w:rPr>
          </w:pPr>
          <w:hyperlink w:anchor="_Toc102558937" w:history="1">
            <w:r w:rsidR="00365B1B" w:rsidRPr="00955834">
              <w:rPr>
                <w:rStyle w:val="Hyperlink"/>
                <w:rFonts w:cs="Times New Roman"/>
                <w:noProof/>
                <w:sz w:val="22"/>
              </w:rPr>
              <w:t>7.2 The Average Time to Re-fixing (ATR)</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_Toc102558937 \h </w:instrText>
            </w:r>
            <w:r w:rsidR="00365B1B" w:rsidRPr="00955834">
              <w:rPr>
                <w:noProof/>
                <w:webHidden/>
                <w:sz w:val="22"/>
              </w:rPr>
            </w:r>
            <w:r w:rsidR="00365B1B" w:rsidRPr="00955834">
              <w:rPr>
                <w:noProof/>
                <w:webHidden/>
                <w:sz w:val="22"/>
              </w:rPr>
              <w:fldChar w:fldCharType="separate"/>
            </w:r>
            <w:r w:rsidR="00BC73C8">
              <w:rPr>
                <w:noProof/>
                <w:webHidden/>
                <w:sz w:val="22"/>
              </w:rPr>
              <w:t>16</w:t>
            </w:r>
            <w:r w:rsidR="00365B1B" w:rsidRPr="00955834">
              <w:rPr>
                <w:noProof/>
                <w:webHidden/>
                <w:sz w:val="22"/>
              </w:rPr>
              <w:fldChar w:fldCharType="end"/>
            </w:r>
          </w:hyperlink>
        </w:p>
        <w:p w14:paraId="1D2F03F3" w14:textId="77777777" w:rsidR="0010713C" w:rsidRPr="00955834" w:rsidRDefault="002E1637">
          <w:pPr>
            <w:pStyle w:val="TOC2"/>
            <w:rPr>
              <w:rFonts w:asciiTheme="minorHAnsi" w:hAnsiTheme="minorHAnsi"/>
              <w:noProof/>
              <w:sz w:val="22"/>
              <w:lang w:eastAsia="en-029"/>
            </w:rPr>
          </w:pPr>
          <w:hyperlink w:anchor="_Toc102558938" w:history="1">
            <w:r w:rsidR="00365B1B" w:rsidRPr="00955834">
              <w:rPr>
                <w:rStyle w:val="Hyperlink"/>
                <w:rFonts w:cs="Times New Roman"/>
                <w:noProof/>
                <w:sz w:val="22"/>
              </w:rPr>
              <w:t>7.3 The Weighted Average Cost of Debt (WACD)</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_Toc102558938 \h </w:instrText>
            </w:r>
            <w:r w:rsidR="00365B1B" w:rsidRPr="00955834">
              <w:rPr>
                <w:noProof/>
                <w:webHidden/>
                <w:sz w:val="22"/>
              </w:rPr>
            </w:r>
            <w:r w:rsidR="00365B1B" w:rsidRPr="00955834">
              <w:rPr>
                <w:noProof/>
                <w:webHidden/>
                <w:sz w:val="22"/>
              </w:rPr>
              <w:fldChar w:fldCharType="separate"/>
            </w:r>
            <w:r w:rsidR="00BC73C8">
              <w:rPr>
                <w:noProof/>
                <w:webHidden/>
                <w:sz w:val="22"/>
              </w:rPr>
              <w:t>16</w:t>
            </w:r>
            <w:r w:rsidR="00365B1B" w:rsidRPr="00955834">
              <w:rPr>
                <w:noProof/>
                <w:webHidden/>
                <w:sz w:val="22"/>
              </w:rPr>
              <w:fldChar w:fldCharType="end"/>
            </w:r>
          </w:hyperlink>
        </w:p>
        <w:p w14:paraId="2FB73175" w14:textId="77777777" w:rsidR="0010713C" w:rsidRPr="00955834" w:rsidRDefault="002E1637">
          <w:pPr>
            <w:pStyle w:val="TOC2"/>
            <w:rPr>
              <w:rFonts w:asciiTheme="minorHAnsi" w:hAnsiTheme="minorHAnsi"/>
              <w:noProof/>
              <w:sz w:val="22"/>
              <w:lang w:eastAsia="en-029"/>
            </w:rPr>
          </w:pPr>
          <w:hyperlink w:anchor="_Toc102558939" w:history="1">
            <w:r w:rsidR="00365B1B" w:rsidRPr="00955834">
              <w:rPr>
                <w:rStyle w:val="Hyperlink"/>
                <w:rFonts w:cs="Times New Roman"/>
                <w:noProof/>
                <w:sz w:val="22"/>
              </w:rPr>
              <w:t xml:space="preserve"> 7.4 Currency Composition and Risk</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_Toc102558939 \h </w:instrText>
            </w:r>
            <w:r w:rsidR="00365B1B" w:rsidRPr="00955834">
              <w:rPr>
                <w:noProof/>
                <w:webHidden/>
                <w:sz w:val="22"/>
              </w:rPr>
            </w:r>
            <w:r w:rsidR="00365B1B" w:rsidRPr="00955834">
              <w:rPr>
                <w:noProof/>
                <w:webHidden/>
                <w:sz w:val="22"/>
              </w:rPr>
              <w:fldChar w:fldCharType="separate"/>
            </w:r>
            <w:r w:rsidR="00BC73C8">
              <w:rPr>
                <w:noProof/>
                <w:webHidden/>
                <w:sz w:val="22"/>
              </w:rPr>
              <w:t>17</w:t>
            </w:r>
            <w:r w:rsidR="00365B1B" w:rsidRPr="00955834">
              <w:rPr>
                <w:noProof/>
                <w:webHidden/>
                <w:sz w:val="22"/>
              </w:rPr>
              <w:fldChar w:fldCharType="end"/>
            </w:r>
          </w:hyperlink>
        </w:p>
        <w:p w14:paraId="21F1277A" w14:textId="77777777" w:rsidR="0010713C" w:rsidRPr="00955834" w:rsidRDefault="002E1637">
          <w:pPr>
            <w:pStyle w:val="TOC2"/>
            <w:rPr>
              <w:rFonts w:asciiTheme="minorHAnsi" w:hAnsiTheme="minorHAnsi"/>
              <w:noProof/>
              <w:sz w:val="22"/>
              <w:lang w:eastAsia="en-029"/>
            </w:rPr>
          </w:pPr>
          <w:hyperlink w:anchor="_Toc102558940" w:history="1">
            <w:r w:rsidR="00365B1B" w:rsidRPr="00955834">
              <w:rPr>
                <w:rStyle w:val="Hyperlink"/>
                <w:rFonts w:cs="Times New Roman"/>
                <w:noProof/>
                <w:sz w:val="22"/>
              </w:rPr>
              <w:t>7.5 Interest Rate Composition and Risk</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_Toc102558940 \h </w:instrText>
            </w:r>
            <w:r w:rsidR="00365B1B" w:rsidRPr="00955834">
              <w:rPr>
                <w:noProof/>
                <w:webHidden/>
                <w:sz w:val="22"/>
              </w:rPr>
            </w:r>
            <w:r w:rsidR="00365B1B" w:rsidRPr="00955834">
              <w:rPr>
                <w:noProof/>
                <w:webHidden/>
                <w:sz w:val="22"/>
              </w:rPr>
              <w:fldChar w:fldCharType="separate"/>
            </w:r>
            <w:r w:rsidR="00BC73C8">
              <w:rPr>
                <w:noProof/>
                <w:webHidden/>
                <w:sz w:val="22"/>
              </w:rPr>
              <w:t>17</w:t>
            </w:r>
            <w:r w:rsidR="00365B1B" w:rsidRPr="00955834">
              <w:rPr>
                <w:noProof/>
                <w:webHidden/>
                <w:sz w:val="22"/>
              </w:rPr>
              <w:fldChar w:fldCharType="end"/>
            </w:r>
          </w:hyperlink>
        </w:p>
        <w:p w14:paraId="3B844238" w14:textId="77777777" w:rsidR="0010713C" w:rsidRPr="00955834" w:rsidRDefault="002E1637">
          <w:pPr>
            <w:pStyle w:val="TOC2"/>
            <w:rPr>
              <w:rFonts w:asciiTheme="minorHAnsi" w:hAnsiTheme="minorHAnsi"/>
              <w:noProof/>
              <w:sz w:val="22"/>
              <w:lang w:eastAsia="en-029"/>
            </w:rPr>
          </w:pPr>
          <w:hyperlink w:anchor="_Toc102558941" w:history="1">
            <w:r w:rsidR="00365B1B" w:rsidRPr="00955834">
              <w:rPr>
                <w:rStyle w:val="Hyperlink"/>
                <w:rFonts w:cs="Times New Roman"/>
                <w:noProof/>
                <w:sz w:val="22"/>
              </w:rPr>
              <w:t>7.6 Percentage of Debt maturing in 1 year</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_Toc102558941 \h </w:instrText>
            </w:r>
            <w:r w:rsidR="00365B1B" w:rsidRPr="00955834">
              <w:rPr>
                <w:noProof/>
                <w:webHidden/>
                <w:sz w:val="22"/>
              </w:rPr>
            </w:r>
            <w:r w:rsidR="00365B1B" w:rsidRPr="00955834">
              <w:rPr>
                <w:noProof/>
                <w:webHidden/>
                <w:sz w:val="22"/>
              </w:rPr>
              <w:fldChar w:fldCharType="separate"/>
            </w:r>
            <w:r w:rsidR="00BC73C8">
              <w:rPr>
                <w:noProof/>
                <w:webHidden/>
                <w:sz w:val="22"/>
              </w:rPr>
              <w:t>18</w:t>
            </w:r>
            <w:r w:rsidR="00365B1B" w:rsidRPr="00955834">
              <w:rPr>
                <w:noProof/>
                <w:webHidden/>
                <w:sz w:val="22"/>
              </w:rPr>
              <w:fldChar w:fldCharType="end"/>
            </w:r>
          </w:hyperlink>
        </w:p>
        <w:p w14:paraId="5BED4272" w14:textId="77777777" w:rsidR="0010713C" w:rsidRPr="00955834" w:rsidRDefault="002E1637">
          <w:pPr>
            <w:pStyle w:val="TOC2"/>
            <w:rPr>
              <w:rFonts w:asciiTheme="minorHAnsi" w:hAnsiTheme="minorHAnsi"/>
              <w:noProof/>
              <w:sz w:val="22"/>
              <w:lang w:eastAsia="en-029"/>
            </w:rPr>
          </w:pPr>
          <w:hyperlink w:anchor="_Toc102558942" w:history="1">
            <w:r w:rsidR="00365B1B" w:rsidRPr="00955834">
              <w:rPr>
                <w:rStyle w:val="Hyperlink"/>
                <w:rFonts w:cs="Times New Roman"/>
                <w:noProof/>
                <w:sz w:val="22"/>
              </w:rPr>
              <w:t>7.7 Redemption Profile</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_Toc102558942 \h </w:instrText>
            </w:r>
            <w:r w:rsidR="00365B1B" w:rsidRPr="00955834">
              <w:rPr>
                <w:noProof/>
                <w:webHidden/>
                <w:sz w:val="22"/>
              </w:rPr>
            </w:r>
            <w:r w:rsidR="00365B1B" w:rsidRPr="00955834">
              <w:rPr>
                <w:noProof/>
                <w:webHidden/>
                <w:sz w:val="22"/>
              </w:rPr>
              <w:fldChar w:fldCharType="separate"/>
            </w:r>
            <w:r w:rsidR="00BC73C8">
              <w:rPr>
                <w:noProof/>
                <w:webHidden/>
                <w:sz w:val="22"/>
              </w:rPr>
              <w:t>18</w:t>
            </w:r>
            <w:r w:rsidR="00365B1B" w:rsidRPr="00955834">
              <w:rPr>
                <w:noProof/>
                <w:webHidden/>
                <w:sz w:val="22"/>
              </w:rPr>
              <w:fldChar w:fldCharType="end"/>
            </w:r>
          </w:hyperlink>
        </w:p>
        <w:p w14:paraId="381B0307" w14:textId="77777777" w:rsidR="0010713C" w:rsidRPr="00955834" w:rsidRDefault="002E1637">
          <w:pPr>
            <w:pStyle w:val="TOC1"/>
            <w:rPr>
              <w:rFonts w:asciiTheme="minorHAnsi" w:hAnsiTheme="minorHAnsi"/>
              <w:noProof/>
              <w:sz w:val="22"/>
              <w:lang w:eastAsia="en-029"/>
            </w:rPr>
          </w:pPr>
          <w:hyperlink w:anchor="_Toc102558943" w:history="1">
            <w:r w:rsidR="00365B1B" w:rsidRPr="00955834">
              <w:rPr>
                <w:rStyle w:val="Hyperlink"/>
                <w:rFonts w:cs="Times New Roman"/>
                <w:noProof/>
                <w:sz w:val="22"/>
              </w:rPr>
              <w:t>8. Contingent Liabilities</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_Toc102558943 \h </w:instrText>
            </w:r>
            <w:r w:rsidR="00365B1B" w:rsidRPr="00955834">
              <w:rPr>
                <w:noProof/>
                <w:webHidden/>
                <w:sz w:val="22"/>
              </w:rPr>
            </w:r>
            <w:r w:rsidR="00365B1B" w:rsidRPr="00955834">
              <w:rPr>
                <w:noProof/>
                <w:webHidden/>
                <w:sz w:val="22"/>
              </w:rPr>
              <w:fldChar w:fldCharType="separate"/>
            </w:r>
            <w:r w:rsidR="00BC73C8">
              <w:rPr>
                <w:noProof/>
                <w:webHidden/>
                <w:sz w:val="22"/>
              </w:rPr>
              <w:t>19</w:t>
            </w:r>
            <w:r w:rsidR="00365B1B" w:rsidRPr="00955834">
              <w:rPr>
                <w:noProof/>
                <w:webHidden/>
                <w:sz w:val="22"/>
              </w:rPr>
              <w:fldChar w:fldCharType="end"/>
            </w:r>
          </w:hyperlink>
        </w:p>
        <w:p w14:paraId="7F5007CB" w14:textId="77777777" w:rsidR="0010713C" w:rsidRPr="00955834" w:rsidRDefault="002E1637">
          <w:pPr>
            <w:pStyle w:val="TOC2"/>
            <w:rPr>
              <w:rFonts w:asciiTheme="minorHAnsi" w:hAnsiTheme="minorHAnsi"/>
              <w:noProof/>
              <w:sz w:val="22"/>
              <w:lang w:eastAsia="en-029"/>
            </w:rPr>
          </w:pPr>
          <w:hyperlink w:anchor="_Toc102558944" w:history="1">
            <w:r w:rsidR="00365B1B" w:rsidRPr="00955834">
              <w:rPr>
                <w:rStyle w:val="Hyperlink"/>
                <w:rFonts w:cs="Times New Roman"/>
                <w:noProof/>
                <w:sz w:val="22"/>
              </w:rPr>
              <w:t>8.1 Contingent Liabilities by Guarantee Status</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_Toc102558944 \h </w:instrText>
            </w:r>
            <w:r w:rsidR="00365B1B" w:rsidRPr="00955834">
              <w:rPr>
                <w:noProof/>
                <w:webHidden/>
                <w:sz w:val="22"/>
              </w:rPr>
            </w:r>
            <w:r w:rsidR="00365B1B" w:rsidRPr="00955834">
              <w:rPr>
                <w:noProof/>
                <w:webHidden/>
                <w:sz w:val="22"/>
              </w:rPr>
              <w:fldChar w:fldCharType="separate"/>
            </w:r>
            <w:r w:rsidR="00BC73C8">
              <w:rPr>
                <w:noProof/>
                <w:webHidden/>
                <w:sz w:val="22"/>
              </w:rPr>
              <w:t>19</w:t>
            </w:r>
            <w:r w:rsidR="00365B1B" w:rsidRPr="00955834">
              <w:rPr>
                <w:noProof/>
                <w:webHidden/>
                <w:sz w:val="22"/>
              </w:rPr>
              <w:fldChar w:fldCharType="end"/>
            </w:r>
          </w:hyperlink>
        </w:p>
        <w:p w14:paraId="3C47F84C" w14:textId="77777777" w:rsidR="0010713C" w:rsidRPr="00955834" w:rsidRDefault="002E1637">
          <w:pPr>
            <w:pStyle w:val="TOC2"/>
            <w:rPr>
              <w:rFonts w:asciiTheme="minorHAnsi" w:hAnsiTheme="minorHAnsi"/>
              <w:noProof/>
              <w:sz w:val="22"/>
              <w:lang w:eastAsia="en-029"/>
            </w:rPr>
          </w:pPr>
          <w:hyperlink w:anchor="_Toc102558945" w:history="1">
            <w:r w:rsidR="00365B1B" w:rsidRPr="00955834">
              <w:rPr>
                <w:rStyle w:val="Hyperlink"/>
                <w:rFonts w:cs="Times New Roman"/>
                <w:noProof/>
                <w:sz w:val="22"/>
              </w:rPr>
              <w:t>8.2 Contingent Liabilities by Residency</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_Toc102558945 \h </w:instrText>
            </w:r>
            <w:r w:rsidR="00365B1B" w:rsidRPr="00955834">
              <w:rPr>
                <w:noProof/>
                <w:webHidden/>
                <w:sz w:val="22"/>
              </w:rPr>
            </w:r>
            <w:r w:rsidR="00365B1B" w:rsidRPr="00955834">
              <w:rPr>
                <w:noProof/>
                <w:webHidden/>
                <w:sz w:val="22"/>
              </w:rPr>
              <w:fldChar w:fldCharType="separate"/>
            </w:r>
            <w:r w:rsidR="00BC73C8">
              <w:rPr>
                <w:noProof/>
                <w:webHidden/>
                <w:sz w:val="22"/>
              </w:rPr>
              <w:t>19</w:t>
            </w:r>
            <w:r w:rsidR="00365B1B" w:rsidRPr="00955834">
              <w:rPr>
                <w:noProof/>
                <w:webHidden/>
                <w:sz w:val="22"/>
              </w:rPr>
              <w:fldChar w:fldCharType="end"/>
            </w:r>
          </w:hyperlink>
        </w:p>
        <w:p w14:paraId="300D57B3" w14:textId="77777777" w:rsidR="0010713C" w:rsidRPr="00955834" w:rsidRDefault="002E1637">
          <w:pPr>
            <w:pStyle w:val="TOC2"/>
            <w:rPr>
              <w:rFonts w:asciiTheme="minorHAnsi" w:hAnsiTheme="minorHAnsi"/>
              <w:noProof/>
              <w:sz w:val="22"/>
              <w:lang w:eastAsia="en-029"/>
            </w:rPr>
          </w:pPr>
          <w:hyperlink w:anchor="_Toc102558946" w:history="1">
            <w:r w:rsidR="00365B1B" w:rsidRPr="00955834">
              <w:rPr>
                <w:rStyle w:val="Hyperlink"/>
                <w:rFonts w:cs="Times New Roman"/>
                <w:noProof/>
                <w:sz w:val="22"/>
              </w:rPr>
              <w:t>8.3 Contingent Liabilities by Creditor</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_Toc102558946 \h </w:instrText>
            </w:r>
            <w:r w:rsidR="00365B1B" w:rsidRPr="00955834">
              <w:rPr>
                <w:noProof/>
                <w:webHidden/>
                <w:sz w:val="22"/>
              </w:rPr>
            </w:r>
            <w:r w:rsidR="00365B1B" w:rsidRPr="00955834">
              <w:rPr>
                <w:noProof/>
                <w:webHidden/>
                <w:sz w:val="22"/>
              </w:rPr>
              <w:fldChar w:fldCharType="separate"/>
            </w:r>
            <w:r w:rsidR="00BC73C8">
              <w:rPr>
                <w:noProof/>
                <w:webHidden/>
                <w:sz w:val="22"/>
              </w:rPr>
              <w:t>20</w:t>
            </w:r>
            <w:r w:rsidR="00365B1B" w:rsidRPr="00955834">
              <w:rPr>
                <w:noProof/>
                <w:webHidden/>
                <w:sz w:val="22"/>
              </w:rPr>
              <w:fldChar w:fldCharType="end"/>
            </w:r>
          </w:hyperlink>
        </w:p>
        <w:p w14:paraId="0AEA2A93" w14:textId="77777777" w:rsidR="0010713C" w:rsidRPr="00955834" w:rsidRDefault="002E1637">
          <w:pPr>
            <w:pStyle w:val="TOC1"/>
            <w:rPr>
              <w:rFonts w:asciiTheme="minorHAnsi" w:hAnsiTheme="minorHAnsi"/>
              <w:noProof/>
              <w:sz w:val="22"/>
              <w:lang w:eastAsia="en-029"/>
            </w:rPr>
          </w:pPr>
          <w:hyperlink w:anchor="_Toc102558947" w:history="1">
            <w:r w:rsidR="00365B1B" w:rsidRPr="00955834">
              <w:rPr>
                <w:rStyle w:val="Hyperlink"/>
                <w:rFonts w:cs="Times New Roman"/>
                <w:noProof/>
                <w:sz w:val="22"/>
                <w:lang w:eastAsia="en-029"/>
              </w:rPr>
              <w:t>9. Financing in 2020/21</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_Toc102558947 \h </w:instrText>
            </w:r>
            <w:r w:rsidR="00365B1B" w:rsidRPr="00955834">
              <w:rPr>
                <w:noProof/>
                <w:webHidden/>
                <w:sz w:val="22"/>
              </w:rPr>
            </w:r>
            <w:r w:rsidR="00365B1B" w:rsidRPr="00955834">
              <w:rPr>
                <w:noProof/>
                <w:webHidden/>
                <w:sz w:val="22"/>
              </w:rPr>
              <w:fldChar w:fldCharType="separate"/>
            </w:r>
            <w:r w:rsidR="00BC73C8">
              <w:rPr>
                <w:noProof/>
                <w:webHidden/>
                <w:sz w:val="22"/>
              </w:rPr>
              <w:t>20</w:t>
            </w:r>
            <w:r w:rsidR="00365B1B" w:rsidRPr="00955834">
              <w:rPr>
                <w:noProof/>
                <w:webHidden/>
                <w:sz w:val="22"/>
              </w:rPr>
              <w:fldChar w:fldCharType="end"/>
            </w:r>
          </w:hyperlink>
        </w:p>
        <w:p w14:paraId="546FF3E3" w14:textId="77777777" w:rsidR="0010713C" w:rsidRPr="00955834" w:rsidRDefault="002E1637">
          <w:pPr>
            <w:pStyle w:val="TOC1"/>
            <w:rPr>
              <w:rFonts w:asciiTheme="minorHAnsi" w:hAnsiTheme="minorHAnsi"/>
              <w:noProof/>
              <w:sz w:val="24"/>
              <w:lang w:eastAsia="en-029"/>
            </w:rPr>
          </w:pPr>
          <w:hyperlink w:anchor="_Toc102558948" w:history="1">
            <w:r w:rsidR="00365B1B" w:rsidRPr="00955834">
              <w:rPr>
                <w:rStyle w:val="Hyperlink"/>
                <w:rFonts w:cs="Times New Roman"/>
                <w:noProof/>
                <w:sz w:val="22"/>
              </w:rPr>
              <w:t>Annex</w:t>
            </w:r>
            <w:r w:rsidR="00365B1B" w:rsidRPr="00955834">
              <w:rPr>
                <w:noProof/>
                <w:webHidden/>
                <w:sz w:val="22"/>
              </w:rPr>
              <w:tab/>
            </w:r>
            <w:r w:rsidR="00365B1B" w:rsidRPr="00955834">
              <w:rPr>
                <w:noProof/>
                <w:webHidden/>
                <w:sz w:val="22"/>
              </w:rPr>
              <w:fldChar w:fldCharType="begin"/>
            </w:r>
            <w:r w:rsidR="00365B1B" w:rsidRPr="00955834">
              <w:rPr>
                <w:noProof/>
                <w:webHidden/>
                <w:sz w:val="22"/>
              </w:rPr>
              <w:instrText xml:space="preserve"> PAGEREF _Toc102558948 \h </w:instrText>
            </w:r>
            <w:r w:rsidR="00365B1B" w:rsidRPr="00955834">
              <w:rPr>
                <w:noProof/>
                <w:webHidden/>
                <w:sz w:val="22"/>
              </w:rPr>
            </w:r>
            <w:r w:rsidR="00365B1B" w:rsidRPr="00955834">
              <w:rPr>
                <w:noProof/>
                <w:webHidden/>
                <w:sz w:val="22"/>
              </w:rPr>
              <w:fldChar w:fldCharType="separate"/>
            </w:r>
            <w:r w:rsidR="00BC73C8">
              <w:rPr>
                <w:noProof/>
                <w:webHidden/>
                <w:sz w:val="22"/>
              </w:rPr>
              <w:t>21</w:t>
            </w:r>
            <w:r w:rsidR="00365B1B" w:rsidRPr="00955834">
              <w:rPr>
                <w:noProof/>
                <w:webHidden/>
                <w:sz w:val="22"/>
              </w:rPr>
              <w:fldChar w:fldCharType="end"/>
            </w:r>
          </w:hyperlink>
        </w:p>
        <w:p w14:paraId="65EC24ED" w14:textId="77777777" w:rsidR="00396C04" w:rsidRPr="00A04A31" w:rsidRDefault="00365B1B" w:rsidP="00796524">
          <w:pPr>
            <w:spacing w:line="480" w:lineRule="auto"/>
            <w:rPr>
              <w:rFonts w:cs="Times New Roman"/>
              <w:b/>
              <w:bCs/>
              <w:noProof/>
              <w:szCs w:val="16"/>
            </w:rPr>
          </w:pPr>
          <w:r w:rsidRPr="00955834">
            <w:rPr>
              <w:rFonts w:cs="Times New Roman"/>
              <w:b/>
              <w:bCs/>
              <w:noProof/>
              <w:sz w:val="22"/>
              <w:szCs w:val="20"/>
            </w:rPr>
            <w:fldChar w:fldCharType="end"/>
          </w:r>
        </w:p>
      </w:sdtContent>
    </w:sdt>
    <w:p w14:paraId="2F5193A8" w14:textId="77777777" w:rsidR="003C6D25" w:rsidRDefault="00365B1B" w:rsidP="003C6D25">
      <w:pPr>
        <w:pStyle w:val="Heading1"/>
        <w:jc w:val="left"/>
      </w:pPr>
      <w:bookmarkStart w:id="4" w:name="_Toc102558903"/>
      <w:r>
        <w:t>Acronyms</w:t>
      </w:r>
      <w:bookmarkEnd w:id="4"/>
    </w:p>
    <w:p w14:paraId="679A5BA9" w14:textId="77777777" w:rsidR="00101578" w:rsidRPr="00101578" w:rsidRDefault="00101578" w:rsidP="00101578"/>
    <w:p w14:paraId="27BB551D" w14:textId="77777777" w:rsidR="005C54D9" w:rsidRPr="001E2528"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t>ATM</w:t>
      </w:r>
      <w:r w:rsidRPr="001E2528">
        <w:rPr>
          <w:rFonts w:cs="Times New Roman"/>
          <w:sz w:val="24"/>
          <w:szCs w:val="24"/>
        </w:rPr>
        <w:t xml:space="preserve"> </w:t>
      </w:r>
      <w:r w:rsidRPr="001E2528">
        <w:rPr>
          <w:rFonts w:cs="Times New Roman"/>
          <w:sz w:val="24"/>
          <w:szCs w:val="24"/>
        </w:rPr>
        <w:tab/>
      </w:r>
      <w:r w:rsidRPr="001E2528">
        <w:rPr>
          <w:rFonts w:cs="Times New Roman"/>
          <w:sz w:val="24"/>
          <w:szCs w:val="24"/>
        </w:rPr>
        <w:tab/>
        <w:t>Average Time to Maturity</w:t>
      </w:r>
    </w:p>
    <w:p w14:paraId="58BCF088" w14:textId="77777777" w:rsidR="005C54D9" w:rsidRPr="001E2528"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t>ATR</w:t>
      </w:r>
      <w:r w:rsidRPr="001E2528">
        <w:rPr>
          <w:rFonts w:cs="Times New Roman"/>
          <w:sz w:val="24"/>
          <w:szCs w:val="24"/>
        </w:rPr>
        <w:t xml:space="preserve"> </w:t>
      </w:r>
      <w:r w:rsidRPr="001E2528">
        <w:rPr>
          <w:rFonts w:cs="Times New Roman"/>
          <w:sz w:val="24"/>
          <w:szCs w:val="24"/>
        </w:rPr>
        <w:tab/>
      </w:r>
      <w:r w:rsidRPr="001E2528">
        <w:rPr>
          <w:rFonts w:cs="Times New Roman"/>
          <w:sz w:val="24"/>
          <w:szCs w:val="24"/>
        </w:rPr>
        <w:tab/>
        <w:t>Average Time to Re-fixing</w:t>
      </w:r>
    </w:p>
    <w:p w14:paraId="636477AE" w14:textId="77777777" w:rsidR="005C54D9" w:rsidRPr="001E2528"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t>CDB</w:t>
      </w:r>
      <w:r w:rsidRPr="001E2528">
        <w:rPr>
          <w:rFonts w:cs="Times New Roman"/>
          <w:sz w:val="24"/>
          <w:szCs w:val="24"/>
        </w:rPr>
        <w:t xml:space="preserve"> </w:t>
      </w:r>
      <w:r w:rsidRPr="001E2528">
        <w:rPr>
          <w:rFonts w:cs="Times New Roman"/>
          <w:sz w:val="24"/>
          <w:szCs w:val="24"/>
        </w:rPr>
        <w:tab/>
      </w:r>
      <w:r w:rsidRPr="001E2528">
        <w:rPr>
          <w:rFonts w:cs="Times New Roman"/>
          <w:sz w:val="24"/>
          <w:szCs w:val="24"/>
        </w:rPr>
        <w:tab/>
        <w:t>Caribbean Development Bank</w:t>
      </w:r>
    </w:p>
    <w:p w14:paraId="20504C18" w14:textId="77777777" w:rsidR="005C54D9" w:rsidRPr="001E2528"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t xml:space="preserve">CIP </w:t>
      </w:r>
      <w:r w:rsidRPr="001E2528">
        <w:rPr>
          <w:rFonts w:cs="Times New Roman"/>
          <w:sz w:val="24"/>
          <w:szCs w:val="24"/>
        </w:rPr>
        <w:tab/>
      </w:r>
      <w:r w:rsidRPr="001E2528">
        <w:rPr>
          <w:rFonts w:cs="Times New Roman"/>
          <w:sz w:val="24"/>
          <w:szCs w:val="24"/>
        </w:rPr>
        <w:tab/>
        <w:t>Citizenship by Investment Programme</w:t>
      </w:r>
    </w:p>
    <w:p w14:paraId="4383EE30" w14:textId="77777777" w:rsidR="005C54D9" w:rsidRPr="001E2528"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t>DIU</w:t>
      </w:r>
      <w:r w:rsidRPr="001E2528">
        <w:rPr>
          <w:rFonts w:cs="Times New Roman"/>
          <w:sz w:val="24"/>
          <w:szCs w:val="24"/>
        </w:rPr>
        <w:t xml:space="preserve"> </w:t>
      </w:r>
      <w:r w:rsidRPr="001E2528">
        <w:rPr>
          <w:rFonts w:cs="Times New Roman"/>
          <w:sz w:val="24"/>
          <w:szCs w:val="24"/>
        </w:rPr>
        <w:tab/>
      </w:r>
      <w:r w:rsidRPr="001E2528">
        <w:rPr>
          <w:rFonts w:cs="Times New Roman"/>
          <w:sz w:val="24"/>
          <w:szCs w:val="24"/>
        </w:rPr>
        <w:tab/>
        <w:t>Debt and Investment Unit</w:t>
      </w:r>
    </w:p>
    <w:p w14:paraId="37558D7E" w14:textId="77777777" w:rsidR="005C54D9" w:rsidRPr="001E2528"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t>DPR</w:t>
      </w:r>
      <w:r w:rsidRPr="001E2528">
        <w:rPr>
          <w:rFonts w:cs="Times New Roman"/>
          <w:sz w:val="24"/>
          <w:szCs w:val="24"/>
        </w:rPr>
        <w:t xml:space="preserve"> </w:t>
      </w:r>
      <w:r w:rsidRPr="001E2528">
        <w:rPr>
          <w:rFonts w:cs="Times New Roman"/>
          <w:sz w:val="24"/>
          <w:szCs w:val="24"/>
        </w:rPr>
        <w:tab/>
      </w:r>
      <w:r w:rsidRPr="001E2528">
        <w:rPr>
          <w:rFonts w:cs="Times New Roman"/>
          <w:sz w:val="24"/>
          <w:szCs w:val="24"/>
        </w:rPr>
        <w:tab/>
        <w:t>Debt Portfolio Review</w:t>
      </w:r>
    </w:p>
    <w:p w14:paraId="6821DD62" w14:textId="77777777" w:rsidR="005C54D9" w:rsidRPr="001E2528" w:rsidRDefault="00365B1B" w:rsidP="005C54D9">
      <w:pPr>
        <w:autoSpaceDE w:val="0"/>
        <w:autoSpaceDN w:val="0"/>
        <w:adjustRightInd w:val="0"/>
        <w:spacing w:after="0" w:line="240" w:lineRule="auto"/>
        <w:contextualSpacing/>
        <w:rPr>
          <w:rFonts w:cs="Times New Roman"/>
          <w:sz w:val="24"/>
          <w:szCs w:val="24"/>
        </w:rPr>
      </w:pPr>
      <w:r w:rsidRPr="001E2528">
        <w:rPr>
          <w:rFonts w:cs="Times New Roman"/>
          <w:b/>
          <w:sz w:val="24"/>
          <w:szCs w:val="24"/>
        </w:rPr>
        <w:t xml:space="preserve">ECCB </w:t>
      </w:r>
      <w:r>
        <w:rPr>
          <w:rFonts w:cs="Times New Roman"/>
          <w:sz w:val="24"/>
          <w:szCs w:val="24"/>
        </w:rPr>
        <w:tab/>
      </w:r>
      <w:r w:rsidRPr="001E2528">
        <w:rPr>
          <w:rFonts w:cs="Times New Roman"/>
          <w:sz w:val="24"/>
          <w:szCs w:val="24"/>
        </w:rPr>
        <w:t>Eastern Caribbean Central Bank</w:t>
      </w:r>
    </w:p>
    <w:p w14:paraId="7636E4CC" w14:textId="77777777" w:rsidR="005C54D9" w:rsidRDefault="00365B1B" w:rsidP="005C54D9">
      <w:pPr>
        <w:spacing w:line="240" w:lineRule="auto"/>
        <w:contextualSpacing/>
        <w:rPr>
          <w:rFonts w:cs="Times New Roman"/>
          <w:sz w:val="24"/>
          <w:szCs w:val="24"/>
        </w:rPr>
      </w:pPr>
      <w:r w:rsidRPr="001E2528">
        <w:rPr>
          <w:rFonts w:cs="Times New Roman"/>
          <w:b/>
          <w:sz w:val="24"/>
          <w:szCs w:val="24"/>
        </w:rPr>
        <w:t>ECSE</w:t>
      </w:r>
      <w:r w:rsidRPr="001E2528">
        <w:rPr>
          <w:rFonts w:cs="Times New Roman"/>
          <w:sz w:val="24"/>
          <w:szCs w:val="24"/>
        </w:rPr>
        <w:t xml:space="preserve"> </w:t>
      </w:r>
      <w:r w:rsidRPr="001E2528">
        <w:rPr>
          <w:rFonts w:cs="Times New Roman"/>
          <w:sz w:val="24"/>
          <w:szCs w:val="24"/>
        </w:rPr>
        <w:tab/>
      </w:r>
      <w:r w:rsidRPr="001E2528">
        <w:rPr>
          <w:rFonts w:cs="Times New Roman"/>
          <w:sz w:val="24"/>
          <w:szCs w:val="24"/>
        </w:rPr>
        <w:tab/>
        <w:t>Eastern Caribbean Securities Exchange</w:t>
      </w:r>
    </w:p>
    <w:p w14:paraId="32F44B0A" w14:textId="77777777" w:rsidR="009A5D4A" w:rsidRDefault="00365B1B" w:rsidP="005C54D9">
      <w:pPr>
        <w:spacing w:line="240" w:lineRule="auto"/>
        <w:contextualSpacing/>
        <w:rPr>
          <w:rFonts w:cs="Times New Roman"/>
          <w:sz w:val="24"/>
          <w:szCs w:val="24"/>
        </w:rPr>
      </w:pPr>
      <w:r w:rsidRPr="009A5D4A">
        <w:rPr>
          <w:rFonts w:cs="Times New Roman"/>
          <w:b/>
          <w:sz w:val="24"/>
          <w:szCs w:val="24"/>
        </w:rPr>
        <w:t>EUR</w:t>
      </w:r>
      <w:r>
        <w:rPr>
          <w:rFonts w:cs="Times New Roman"/>
          <w:sz w:val="24"/>
          <w:szCs w:val="24"/>
        </w:rPr>
        <w:tab/>
      </w:r>
      <w:r>
        <w:rPr>
          <w:rFonts w:cs="Times New Roman"/>
          <w:sz w:val="24"/>
          <w:szCs w:val="24"/>
        </w:rPr>
        <w:tab/>
        <w:t>Euro</w:t>
      </w:r>
    </w:p>
    <w:p w14:paraId="60EF8BE2" w14:textId="77777777" w:rsidR="005C54D9" w:rsidRPr="001E2528" w:rsidRDefault="00365B1B" w:rsidP="005C54D9">
      <w:pPr>
        <w:spacing w:line="240" w:lineRule="auto"/>
        <w:contextualSpacing/>
        <w:rPr>
          <w:rFonts w:cs="Times New Roman"/>
          <w:sz w:val="24"/>
          <w:szCs w:val="24"/>
        </w:rPr>
      </w:pPr>
      <w:r w:rsidRPr="001E2528">
        <w:rPr>
          <w:rFonts w:cs="Times New Roman"/>
          <w:b/>
          <w:sz w:val="24"/>
          <w:szCs w:val="24"/>
        </w:rPr>
        <w:t>EXIM Bank</w:t>
      </w:r>
      <w:r w:rsidRPr="001E2528">
        <w:rPr>
          <w:rFonts w:cs="Times New Roman"/>
          <w:sz w:val="24"/>
          <w:szCs w:val="24"/>
        </w:rPr>
        <w:t xml:space="preserve"> </w:t>
      </w:r>
      <w:r w:rsidRPr="001E2528">
        <w:rPr>
          <w:rFonts w:cs="Times New Roman"/>
          <w:sz w:val="24"/>
          <w:szCs w:val="24"/>
        </w:rPr>
        <w:tab/>
        <w:t>Export-Import Bank of China</w:t>
      </w:r>
    </w:p>
    <w:p w14:paraId="60D6415B" w14:textId="77777777" w:rsidR="005C54D9" w:rsidRPr="001E2528" w:rsidRDefault="00365B1B" w:rsidP="005C54D9">
      <w:pPr>
        <w:spacing w:line="240" w:lineRule="auto"/>
        <w:contextualSpacing/>
        <w:rPr>
          <w:rFonts w:cs="Times New Roman"/>
          <w:sz w:val="24"/>
          <w:szCs w:val="24"/>
        </w:rPr>
      </w:pPr>
      <w:r w:rsidRPr="001E2528">
        <w:rPr>
          <w:rFonts w:cs="Times New Roman"/>
          <w:b/>
          <w:sz w:val="24"/>
          <w:szCs w:val="24"/>
        </w:rPr>
        <w:t>FY</w:t>
      </w:r>
      <w:r w:rsidRPr="001E2528">
        <w:rPr>
          <w:rFonts w:cs="Times New Roman"/>
          <w:sz w:val="24"/>
          <w:szCs w:val="24"/>
        </w:rPr>
        <w:t xml:space="preserve"> </w:t>
      </w:r>
      <w:r w:rsidRPr="001E2528">
        <w:rPr>
          <w:rFonts w:cs="Times New Roman"/>
          <w:sz w:val="24"/>
          <w:szCs w:val="24"/>
        </w:rPr>
        <w:tab/>
      </w:r>
      <w:r w:rsidRPr="001E2528">
        <w:rPr>
          <w:rFonts w:cs="Times New Roman"/>
          <w:sz w:val="24"/>
          <w:szCs w:val="24"/>
        </w:rPr>
        <w:tab/>
        <w:t>Fiscal Year</w:t>
      </w:r>
    </w:p>
    <w:p w14:paraId="16961B40" w14:textId="77777777" w:rsidR="005C54D9" w:rsidRPr="001E2528" w:rsidRDefault="00365B1B" w:rsidP="005C54D9">
      <w:pPr>
        <w:autoSpaceDE w:val="0"/>
        <w:autoSpaceDN w:val="0"/>
        <w:adjustRightInd w:val="0"/>
        <w:spacing w:after="0" w:line="240" w:lineRule="auto"/>
        <w:contextualSpacing/>
        <w:rPr>
          <w:rFonts w:cs="Times New Roman"/>
          <w:sz w:val="24"/>
          <w:szCs w:val="24"/>
        </w:rPr>
      </w:pPr>
      <w:r w:rsidRPr="001E2528">
        <w:rPr>
          <w:rFonts w:cs="Times New Roman"/>
          <w:b/>
          <w:sz w:val="24"/>
          <w:szCs w:val="24"/>
        </w:rPr>
        <w:t>GDP</w:t>
      </w:r>
      <w:r w:rsidRPr="001E2528">
        <w:rPr>
          <w:rFonts w:cs="Times New Roman"/>
          <w:sz w:val="24"/>
          <w:szCs w:val="24"/>
        </w:rPr>
        <w:t xml:space="preserve"> </w:t>
      </w:r>
      <w:r w:rsidRPr="001E2528">
        <w:rPr>
          <w:rFonts w:cs="Times New Roman"/>
          <w:sz w:val="24"/>
          <w:szCs w:val="24"/>
        </w:rPr>
        <w:tab/>
      </w:r>
      <w:r w:rsidRPr="001E2528">
        <w:rPr>
          <w:rFonts w:cs="Times New Roman"/>
          <w:sz w:val="24"/>
          <w:szCs w:val="24"/>
        </w:rPr>
        <w:tab/>
        <w:t>Gross Domestic Product</w:t>
      </w:r>
    </w:p>
    <w:p w14:paraId="17A01BE7" w14:textId="77777777" w:rsidR="005C54D9" w:rsidRPr="001E2528"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t>GOS</w:t>
      </w:r>
      <w:r w:rsidRPr="001E2528">
        <w:rPr>
          <w:rFonts w:cs="Times New Roman"/>
          <w:sz w:val="24"/>
          <w:szCs w:val="24"/>
        </w:rPr>
        <w:t xml:space="preserve">L </w:t>
      </w:r>
      <w:r w:rsidRPr="001E2528">
        <w:rPr>
          <w:rFonts w:cs="Times New Roman"/>
          <w:sz w:val="24"/>
          <w:szCs w:val="24"/>
        </w:rPr>
        <w:tab/>
      </w:r>
      <w:r w:rsidRPr="001E2528">
        <w:rPr>
          <w:rFonts w:cs="Times New Roman"/>
          <w:sz w:val="24"/>
          <w:szCs w:val="24"/>
        </w:rPr>
        <w:tab/>
        <w:t>Government of Saint Lucia</w:t>
      </w:r>
    </w:p>
    <w:p w14:paraId="745B227D" w14:textId="77777777" w:rsidR="005C54D9"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t>HIARDP</w:t>
      </w:r>
      <w:r w:rsidRPr="001E2528">
        <w:rPr>
          <w:rFonts w:cs="Times New Roman"/>
          <w:sz w:val="24"/>
          <w:szCs w:val="24"/>
        </w:rPr>
        <w:t xml:space="preserve"> </w:t>
      </w:r>
      <w:r>
        <w:rPr>
          <w:rFonts w:cs="Times New Roman"/>
          <w:sz w:val="24"/>
          <w:szCs w:val="24"/>
        </w:rPr>
        <w:tab/>
      </w:r>
      <w:r w:rsidRPr="001E2528">
        <w:rPr>
          <w:rFonts w:cs="Times New Roman"/>
          <w:sz w:val="24"/>
          <w:szCs w:val="24"/>
        </w:rPr>
        <w:t>Hewanorra International Airport Redevelopment Project</w:t>
      </w:r>
    </w:p>
    <w:p w14:paraId="674710BD" w14:textId="77777777" w:rsidR="00253421" w:rsidRPr="001E2528" w:rsidRDefault="00365B1B" w:rsidP="005C54D9">
      <w:pPr>
        <w:autoSpaceDE w:val="0"/>
        <w:autoSpaceDN w:val="0"/>
        <w:adjustRightInd w:val="0"/>
        <w:spacing w:after="0" w:line="240" w:lineRule="auto"/>
        <w:rPr>
          <w:rFonts w:cs="Times New Roman"/>
          <w:sz w:val="24"/>
          <w:szCs w:val="24"/>
        </w:rPr>
      </w:pPr>
      <w:r w:rsidRPr="00253421">
        <w:rPr>
          <w:rFonts w:cs="Times New Roman"/>
          <w:b/>
          <w:sz w:val="24"/>
          <w:szCs w:val="24"/>
        </w:rPr>
        <w:t>IBRD</w:t>
      </w:r>
      <w:r>
        <w:rPr>
          <w:rFonts w:cs="Times New Roman"/>
          <w:sz w:val="24"/>
          <w:szCs w:val="24"/>
        </w:rPr>
        <w:tab/>
      </w:r>
      <w:r>
        <w:rPr>
          <w:rFonts w:cs="Times New Roman"/>
          <w:sz w:val="24"/>
          <w:szCs w:val="24"/>
        </w:rPr>
        <w:tab/>
        <w:t>International Bank for Reconstruction and Development</w:t>
      </w:r>
    </w:p>
    <w:p w14:paraId="2C5A2244" w14:textId="77777777" w:rsidR="005C54D9" w:rsidRPr="001E2528"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t>IDA</w:t>
      </w:r>
      <w:r w:rsidRPr="001E2528">
        <w:rPr>
          <w:rFonts w:cs="Times New Roman"/>
          <w:sz w:val="24"/>
          <w:szCs w:val="24"/>
        </w:rPr>
        <w:t xml:space="preserve"> </w:t>
      </w:r>
      <w:r w:rsidRPr="001E2528">
        <w:rPr>
          <w:rFonts w:cs="Times New Roman"/>
          <w:sz w:val="24"/>
          <w:szCs w:val="24"/>
        </w:rPr>
        <w:tab/>
      </w:r>
      <w:r w:rsidRPr="001E2528">
        <w:rPr>
          <w:rFonts w:cs="Times New Roman"/>
          <w:sz w:val="24"/>
          <w:szCs w:val="24"/>
        </w:rPr>
        <w:tab/>
        <w:t>International Development Association</w:t>
      </w:r>
    </w:p>
    <w:p w14:paraId="18E14AFF" w14:textId="77777777" w:rsidR="005C54D9" w:rsidRPr="001E2528"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t>IM</w:t>
      </w:r>
      <w:r w:rsidRPr="001E2528">
        <w:rPr>
          <w:rFonts w:cs="Times New Roman"/>
          <w:sz w:val="24"/>
          <w:szCs w:val="24"/>
        </w:rPr>
        <w:t xml:space="preserve">F </w:t>
      </w:r>
      <w:r w:rsidRPr="001E2528">
        <w:rPr>
          <w:rFonts w:cs="Times New Roman"/>
          <w:sz w:val="24"/>
          <w:szCs w:val="24"/>
        </w:rPr>
        <w:tab/>
      </w:r>
      <w:r w:rsidRPr="001E2528">
        <w:rPr>
          <w:rFonts w:cs="Times New Roman"/>
          <w:sz w:val="24"/>
          <w:szCs w:val="24"/>
        </w:rPr>
        <w:tab/>
        <w:t>International Monetary Fund</w:t>
      </w:r>
    </w:p>
    <w:p w14:paraId="1606C645" w14:textId="77777777" w:rsidR="005C54D9" w:rsidRPr="001E2528"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t>K</w:t>
      </w:r>
      <w:r w:rsidRPr="00701BD2">
        <w:rPr>
          <w:rFonts w:cs="Times New Roman"/>
          <w:b/>
          <w:sz w:val="24"/>
          <w:szCs w:val="24"/>
        </w:rPr>
        <w:t xml:space="preserve">WD </w:t>
      </w:r>
      <w:r w:rsidRPr="001E2528">
        <w:rPr>
          <w:rFonts w:cs="Times New Roman"/>
          <w:sz w:val="24"/>
          <w:szCs w:val="24"/>
        </w:rPr>
        <w:tab/>
      </w:r>
      <w:r w:rsidRPr="001E2528">
        <w:rPr>
          <w:rFonts w:cs="Times New Roman"/>
          <w:sz w:val="24"/>
          <w:szCs w:val="24"/>
        </w:rPr>
        <w:tab/>
        <w:t>Kuwaiti Dinar</w:t>
      </w:r>
    </w:p>
    <w:p w14:paraId="1CF1104C" w14:textId="77777777" w:rsidR="005C54D9" w:rsidRPr="001E2528"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t>NIC</w:t>
      </w:r>
      <w:r w:rsidRPr="001E2528">
        <w:rPr>
          <w:rFonts w:cs="Times New Roman"/>
          <w:sz w:val="24"/>
          <w:szCs w:val="24"/>
        </w:rPr>
        <w:t xml:space="preserve"> </w:t>
      </w:r>
      <w:r w:rsidRPr="001E2528">
        <w:rPr>
          <w:rFonts w:cs="Times New Roman"/>
          <w:sz w:val="24"/>
          <w:szCs w:val="24"/>
        </w:rPr>
        <w:tab/>
      </w:r>
      <w:r w:rsidRPr="001E2528">
        <w:rPr>
          <w:rFonts w:cs="Times New Roman"/>
          <w:sz w:val="24"/>
          <w:szCs w:val="24"/>
        </w:rPr>
        <w:tab/>
        <w:t>National Insurance Corporation</w:t>
      </w:r>
    </w:p>
    <w:p w14:paraId="670AF52B" w14:textId="77777777" w:rsidR="005C54D9" w:rsidRPr="001E2528"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t>RGSM</w:t>
      </w:r>
      <w:r w:rsidRPr="001E2528">
        <w:rPr>
          <w:rFonts w:cs="Times New Roman"/>
          <w:sz w:val="24"/>
          <w:szCs w:val="24"/>
        </w:rPr>
        <w:t xml:space="preserve"> </w:t>
      </w:r>
      <w:r w:rsidRPr="001E2528">
        <w:rPr>
          <w:rFonts w:cs="Times New Roman"/>
          <w:sz w:val="24"/>
          <w:szCs w:val="24"/>
        </w:rPr>
        <w:tab/>
        <w:t>Regional Government Securities Market</w:t>
      </w:r>
    </w:p>
    <w:p w14:paraId="2A6C705A" w14:textId="77777777" w:rsidR="005C54D9" w:rsidRPr="001E2528"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t>ROCT</w:t>
      </w:r>
      <w:r w:rsidRPr="001E2528">
        <w:rPr>
          <w:rFonts w:cs="Times New Roman"/>
          <w:sz w:val="24"/>
          <w:szCs w:val="24"/>
        </w:rPr>
        <w:t xml:space="preserve"> </w:t>
      </w:r>
      <w:r w:rsidRPr="001E2528">
        <w:rPr>
          <w:rFonts w:cs="Times New Roman"/>
          <w:sz w:val="24"/>
          <w:szCs w:val="24"/>
        </w:rPr>
        <w:tab/>
        <w:t>Republic of China on Taiwan</w:t>
      </w:r>
    </w:p>
    <w:p w14:paraId="1D1EFE98" w14:textId="77777777" w:rsidR="005C54D9" w:rsidRPr="001E2528"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t>SDR</w:t>
      </w:r>
      <w:r w:rsidRPr="001E2528">
        <w:rPr>
          <w:rFonts w:cs="Times New Roman"/>
          <w:sz w:val="24"/>
          <w:szCs w:val="24"/>
        </w:rPr>
        <w:t xml:space="preserve"> </w:t>
      </w:r>
      <w:r w:rsidRPr="001E2528">
        <w:rPr>
          <w:rFonts w:cs="Times New Roman"/>
          <w:sz w:val="24"/>
          <w:szCs w:val="24"/>
        </w:rPr>
        <w:tab/>
      </w:r>
      <w:r w:rsidRPr="001E2528">
        <w:rPr>
          <w:rFonts w:cs="Times New Roman"/>
          <w:sz w:val="24"/>
          <w:szCs w:val="24"/>
        </w:rPr>
        <w:tab/>
        <w:t>Special Drawing Rights</w:t>
      </w:r>
    </w:p>
    <w:p w14:paraId="4919D526" w14:textId="77777777" w:rsidR="005C54D9"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t>USD</w:t>
      </w:r>
      <w:r w:rsidRPr="001E2528">
        <w:rPr>
          <w:rFonts w:cs="Times New Roman"/>
          <w:sz w:val="24"/>
          <w:szCs w:val="24"/>
        </w:rPr>
        <w:t xml:space="preserve"> </w:t>
      </w:r>
      <w:r w:rsidRPr="001E2528">
        <w:rPr>
          <w:rFonts w:cs="Times New Roman"/>
          <w:sz w:val="24"/>
          <w:szCs w:val="24"/>
        </w:rPr>
        <w:tab/>
      </w:r>
      <w:r w:rsidRPr="001E2528">
        <w:rPr>
          <w:rFonts w:cs="Times New Roman"/>
          <w:sz w:val="24"/>
          <w:szCs w:val="24"/>
        </w:rPr>
        <w:tab/>
        <w:t>United States Dollar</w:t>
      </w:r>
    </w:p>
    <w:p w14:paraId="7F12FB07" w14:textId="77777777" w:rsidR="006B1B03" w:rsidRPr="001E2528" w:rsidRDefault="006B1B03" w:rsidP="005C54D9">
      <w:pPr>
        <w:autoSpaceDE w:val="0"/>
        <w:autoSpaceDN w:val="0"/>
        <w:adjustRightInd w:val="0"/>
        <w:spacing w:after="0" w:line="240" w:lineRule="auto"/>
        <w:rPr>
          <w:rFonts w:cs="Times New Roman"/>
          <w:sz w:val="24"/>
          <w:szCs w:val="24"/>
        </w:rPr>
      </w:pPr>
      <w:r w:rsidRPr="006B1B03">
        <w:rPr>
          <w:rFonts w:cs="Times New Roman"/>
          <w:b/>
          <w:sz w:val="24"/>
          <w:szCs w:val="24"/>
        </w:rPr>
        <w:t>WB</w:t>
      </w:r>
      <w:r>
        <w:rPr>
          <w:rFonts w:cs="Times New Roman"/>
          <w:sz w:val="24"/>
          <w:szCs w:val="24"/>
        </w:rPr>
        <w:tab/>
      </w:r>
      <w:r>
        <w:rPr>
          <w:rFonts w:cs="Times New Roman"/>
          <w:sz w:val="24"/>
          <w:szCs w:val="24"/>
        </w:rPr>
        <w:tab/>
        <w:t>World Bank</w:t>
      </w:r>
    </w:p>
    <w:p w14:paraId="16352EC9" w14:textId="77777777" w:rsidR="005C54D9" w:rsidRPr="001E2528"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lastRenderedPageBreak/>
        <w:t>WAC</w:t>
      </w:r>
      <w:r w:rsidRPr="00701BD2">
        <w:rPr>
          <w:rFonts w:cs="Times New Roman"/>
          <w:b/>
          <w:sz w:val="24"/>
          <w:szCs w:val="24"/>
        </w:rPr>
        <w:t>D</w:t>
      </w:r>
      <w:r w:rsidRPr="001E2528">
        <w:rPr>
          <w:rFonts w:cs="Times New Roman"/>
          <w:sz w:val="24"/>
          <w:szCs w:val="24"/>
        </w:rPr>
        <w:t xml:space="preserve"> </w:t>
      </w:r>
      <w:r w:rsidRPr="001E2528">
        <w:rPr>
          <w:rFonts w:cs="Times New Roman"/>
          <w:sz w:val="24"/>
          <w:szCs w:val="24"/>
        </w:rPr>
        <w:tab/>
        <w:t>Weighted Average Cost of Debt</w:t>
      </w:r>
    </w:p>
    <w:p w14:paraId="11509696" w14:textId="77777777" w:rsidR="005C54D9" w:rsidRDefault="00365B1B" w:rsidP="005C54D9">
      <w:pPr>
        <w:autoSpaceDE w:val="0"/>
        <w:autoSpaceDN w:val="0"/>
        <w:adjustRightInd w:val="0"/>
        <w:spacing w:after="0" w:line="240" w:lineRule="auto"/>
        <w:rPr>
          <w:rFonts w:cs="Times New Roman"/>
          <w:sz w:val="24"/>
          <w:szCs w:val="24"/>
        </w:rPr>
      </w:pPr>
      <w:r w:rsidRPr="001E2528">
        <w:rPr>
          <w:rFonts w:cs="Times New Roman"/>
          <w:b/>
          <w:sz w:val="24"/>
          <w:szCs w:val="24"/>
        </w:rPr>
        <w:t>XCD</w:t>
      </w:r>
      <w:r w:rsidRPr="001E2528">
        <w:rPr>
          <w:rFonts w:cs="Times New Roman"/>
          <w:sz w:val="24"/>
          <w:szCs w:val="24"/>
        </w:rPr>
        <w:t xml:space="preserve"> </w:t>
      </w:r>
      <w:r w:rsidRPr="001E2528">
        <w:rPr>
          <w:rFonts w:cs="Times New Roman"/>
          <w:sz w:val="24"/>
          <w:szCs w:val="24"/>
        </w:rPr>
        <w:tab/>
      </w:r>
      <w:r w:rsidRPr="001E2528">
        <w:rPr>
          <w:rFonts w:cs="Times New Roman"/>
          <w:sz w:val="24"/>
          <w:szCs w:val="24"/>
        </w:rPr>
        <w:tab/>
        <w:t>Eastern Caribbean Dollar</w:t>
      </w:r>
    </w:p>
    <w:p w14:paraId="5BADA97E" w14:textId="77777777" w:rsidR="00C6177A" w:rsidRDefault="00C6177A" w:rsidP="005C54D9">
      <w:pPr>
        <w:autoSpaceDE w:val="0"/>
        <w:autoSpaceDN w:val="0"/>
        <w:adjustRightInd w:val="0"/>
        <w:spacing w:after="0" w:line="240" w:lineRule="auto"/>
        <w:rPr>
          <w:rFonts w:cs="Times New Roman"/>
          <w:sz w:val="24"/>
          <w:szCs w:val="24"/>
        </w:rPr>
      </w:pPr>
    </w:p>
    <w:p w14:paraId="304C3F09" w14:textId="77777777" w:rsidR="00C6177A" w:rsidRDefault="00365B1B" w:rsidP="005C54D9">
      <w:pPr>
        <w:autoSpaceDE w:val="0"/>
        <w:autoSpaceDN w:val="0"/>
        <w:adjustRightInd w:val="0"/>
        <w:spacing w:after="0" w:line="240" w:lineRule="auto"/>
        <w:rPr>
          <w:rFonts w:cs="Times New Roman"/>
          <w:sz w:val="24"/>
          <w:szCs w:val="24"/>
        </w:rPr>
      </w:pPr>
      <w:r>
        <w:rPr>
          <w:rFonts w:cs="Times New Roman"/>
          <w:sz w:val="24"/>
          <w:szCs w:val="24"/>
        </w:rPr>
        <w:t xml:space="preserve"> </w:t>
      </w:r>
    </w:p>
    <w:p w14:paraId="781B0433" w14:textId="77777777" w:rsidR="003C6D25" w:rsidRDefault="00365B1B" w:rsidP="003C6D25">
      <w:pPr>
        <w:pStyle w:val="Heading1"/>
        <w:jc w:val="left"/>
      </w:pPr>
      <w:bookmarkStart w:id="5" w:name="_Toc102558904"/>
      <w:r>
        <w:t>List of Figures</w:t>
      </w:r>
      <w:bookmarkEnd w:id="5"/>
    </w:p>
    <w:p w14:paraId="3F7D00C1"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sz w:val="22"/>
          <w:szCs w:val="20"/>
        </w:rPr>
        <w:fldChar w:fldCharType="begin"/>
      </w:r>
      <w:r w:rsidRPr="00955834">
        <w:rPr>
          <w:rFonts w:cs="Times New Roman"/>
          <w:sz w:val="22"/>
          <w:szCs w:val="20"/>
        </w:rPr>
        <w:instrText xml:space="preserve"> TOC \c "Figure" </w:instrText>
      </w:r>
      <w:r w:rsidRPr="00955834">
        <w:rPr>
          <w:rFonts w:cs="Times New Roman"/>
          <w:sz w:val="22"/>
          <w:szCs w:val="20"/>
        </w:rPr>
        <w:fldChar w:fldCharType="separate"/>
      </w:r>
      <w:r w:rsidRPr="00955834">
        <w:rPr>
          <w:rFonts w:cs="Times New Roman"/>
          <w:noProof/>
          <w:sz w:val="22"/>
        </w:rPr>
        <w:t>Figure 1: Total Public Debt by Residency 2017-2021</w:t>
      </w:r>
      <w:r w:rsidRPr="00955834">
        <w:rPr>
          <w:noProof/>
          <w:sz w:val="22"/>
        </w:rPr>
        <w:tab/>
      </w:r>
      <w:r w:rsidRPr="00955834">
        <w:rPr>
          <w:noProof/>
          <w:sz w:val="22"/>
        </w:rPr>
        <w:fldChar w:fldCharType="begin"/>
      </w:r>
      <w:r w:rsidRPr="00955834">
        <w:rPr>
          <w:noProof/>
          <w:sz w:val="22"/>
        </w:rPr>
        <w:instrText xml:space="preserve"> PAGEREF _Toc102560669 \h </w:instrText>
      </w:r>
      <w:r w:rsidRPr="00955834">
        <w:rPr>
          <w:noProof/>
          <w:sz w:val="22"/>
        </w:rPr>
      </w:r>
      <w:r w:rsidRPr="00955834">
        <w:rPr>
          <w:noProof/>
          <w:sz w:val="22"/>
        </w:rPr>
        <w:fldChar w:fldCharType="separate"/>
      </w:r>
      <w:r w:rsidR="00BC73C8">
        <w:rPr>
          <w:noProof/>
          <w:sz w:val="22"/>
        </w:rPr>
        <w:t>5</w:t>
      </w:r>
      <w:r w:rsidRPr="00955834">
        <w:rPr>
          <w:noProof/>
          <w:sz w:val="22"/>
        </w:rPr>
        <w:fldChar w:fldCharType="end"/>
      </w:r>
    </w:p>
    <w:p w14:paraId="3992B911"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 xml:space="preserve">Figure 2: </w:t>
      </w:r>
      <w:r w:rsidRPr="00955834">
        <w:rPr>
          <w:rFonts w:cs="Times New Roman"/>
          <w:noProof/>
          <w:sz w:val="22"/>
          <w:lang w:val="en-US"/>
        </w:rPr>
        <w:t>Total Public Debt by Borrower Category 2017-2021</w:t>
      </w:r>
      <w:r w:rsidRPr="00955834">
        <w:rPr>
          <w:noProof/>
          <w:sz w:val="22"/>
        </w:rPr>
        <w:tab/>
      </w:r>
      <w:r w:rsidRPr="00955834">
        <w:rPr>
          <w:noProof/>
          <w:sz w:val="22"/>
        </w:rPr>
        <w:fldChar w:fldCharType="begin"/>
      </w:r>
      <w:r w:rsidRPr="00955834">
        <w:rPr>
          <w:noProof/>
          <w:sz w:val="22"/>
        </w:rPr>
        <w:instrText xml:space="preserve"> PAGEREF _Toc102560670 \h </w:instrText>
      </w:r>
      <w:r w:rsidRPr="00955834">
        <w:rPr>
          <w:noProof/>
          <w:sz w:val="22"/>
        </w:rPr>
      </w:r>
      <w:r w:rsidRPr="00955834">
        <w:rPr>
          <w:noProof/>
          <w:sz w:val="22"/>
        </w:rPr>
        <w:fldChar w:fldCharType="separate"/>
      </w:r>
      <w:r w:rsidR="00BC73C8">
        <w:rPr>
          <w:noProof/>
          <w:sz w:val="22"/>
        </w:rPr>
        <w:t>6</w:t>
      </w:r>
      <w:r w:rsidRPr="00955834">
        <w:rPr>
          <w:noProof/>
          <w:sz w:val="22"/>
        </w:rPr>
        <w:fldChar w:fldCharType="end"/>
      </w:r>
    </w:p>
    <w:p w14:paraId="4CD2898E"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3: Total Public Debt by Instrument 2017-2021</w:t>
      </w:r>
      <w:r w:rsidRPr="00955834">
        <w:rPr>
          <w:noProof/>
          <w:sz w:val="22"/>
        </w:rPr>
        <w:tab/>
      </w:r>
      <w:r w:rsidRPr="00955834">
        <w:rPr>
          <w:noProof/>
          <w:sz w:val="22"/>
        </w:rPr>
        <w:fldChar w:fldCharType="begin"/>
      </w:r>
      <w:r w:rsidRPr="00955834">
        <w:rPr>
          <w:noProof/>
          <w:sz w:val="22"/>
        </w:rPr>
        <w:instrText xml:space="preserve"> PAGEREF _Toc102560671 \h </w:instrText>
      </w:r>
      <w:r w:rsidRPr="00955834">
        <w:rPr>
          <w:noProof/>
          <w:sz w:val="22"/>
        </w:rPr>
      </w:r>
      <w:r w:rsidRPr="00955834">
        <w:rPr>
          <w:noProof/>
          <w:sz w:val="22"/>
        </w:rPr>
        <w:fldChar w:fldCharType="separate"/>
      </w:r>
      <w:r w:rsidR="00BC73C8">
        <w:rPr>
          <w:noProof/>
          <w:sz w:val="22"/>
        </w:rPr>
        <w:t>6</w:t>
      </w:r>
      <w:r w:rsidRPr="00955834">
        <w:rPr>
          <w:noProof/>
          <w:sz w:val="22"/>
        </w:rPr>
        <w:fldChar w:fldCharType="end"/>
      </w:r>
    </w:p>
    <w:p w14:paraId="43F3F842"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 xml:space="preserve">Figure 4: </w:t>
      </w:r>
      <w:r w:rsidRPr="00955834">
        <w:rPr>
          <w:rFonts w:cs="Times New Roman"/>
          <w:noProof/>
          <w:sz w:val="22"/>
          <w:lang w:val="en-US"/>
        </w:rPr>
        <w:t>Domestic Debt by Borrower Category 2017-2021</w:t>
      </w:r>
      <w:r w:rsidRPr="00955834">
        <w:rPr>
          <w:noProof/>
          <w:sz w:val="22"/>
        </w:rPr>
        <w:tab/>
      </w:r>
      <w:r w:rsidRPr="00955834">
        <w:rPr>
          <w:noProof/>
          <w:sz w:val="22"/>
        </w:rPr>
        <w:fldChar w:fldCharType="begin"/>
      </w:r>
      <w:r w:rsidRPr="00955834">
        <w:rPr>
          <w:noProof/>
          <w:sz w:val="22"/>
        </w:rPr>
        <w:instrText xml:space="preserve"> PAGEREF _Toc102560672 \h </w:instrText>
      </w:r>
      <w:r w:rsidRPr="00955834">
        <w:rPr>
          <w:noProof/>
          <w:sz w:val="22"/>
        </w:rPr>
      </w:r>
      <w:r w:rsidRPr="00955834">
        <w:rPr>
          <w:noProof/>
          <w:sz w:val="22"/>
        </w:rPr>
        <w:fldChar w:fldCharType="separate"/>
      </w:r>
      <w:r w:rsidR="00BC73C8">
        <w:rPr>
          <w:noProof/>
          <w:sz w:val="22"/>
        </w:rPr>
        <w:t>7</w:t>
      </w:r>
      <w:r w:rsidRPr="00955834">
        <w:rPr>
          <w:noProof/>
          <w:sz w:val="22"/>
        </w:rPr>
        <w:fldChar w:fldCharType="end"/>
      </w:r>
    </w:p>
    <w:p w14:paraId="0187D67E"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5: Domestic Debt by Instrument 2017-2021</w:t>
      </w:r>
      <w:r w:rsidRPr="00955834">
        <w:rPr>
          <w:noProof/>
          <w:sz w:val="22"/>
        </w:rPr>
        <w:tab/>
      </w:r>
      <w:r w:rsidRPr="00955834">
        <w:rPr>
          <w:noProof/>
          <w:sz w:val="22"/>
        </w:rPr>
        <w:fldChar w:fldCharType="begin"/>
      </w:r>
      <w:r w:rsidRPr="00955834">
        <w:rPr>
          <w:noProof/>
          <w:sz w:val="22"/>
        </w:rPr>
        <w:instrText xml:space="preserve"> PAGEREF _Toc102560673 \h </w:instrText>
      </w:r>
      <w:r w:rsidRPr="00955834">
        <w:rPr>
          <w:noProof/>
          <w:sz w:val="22"/>
        </w:rPr>
      </w:r>
      <w:r w:rsidRPr="00955834">
        <w:rPr>
          <w:noProof/>
          <w:sz w:val="22"/>
        </w:rPr>
        <w:fldChar w:fldCharType="separate"/>
      </w:r>
      <w:r w:rsidR="00BC73C8">
        <w:rPr>
          <w:noProof/>
          <w:sz w:val="22"/>
        </w:rPr>
        <w:t>7</w:t>
      </w:r>
      <w:r w:rsidRPr="00955834">
        <w:rPr>
          <w:noProof/>
          <w:sz w:val="22"/>
        </w:rPr>
        <w:fldChar w:fldCharType="end"/>
      </w:r>
    </w:p>
    <w:p w14:paraId="533C636F"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6: Domestic Debt by Creditor Category 2021</w:t>
      </w:r>
      <w:r w:rsidRPr="00955834">
        <w:rPr>
          <w:noProof/>
          <w:sz w:val="22"/>
        </w:rPr>
        <w:tab/>
      </w:r>
      <w:r w:rsidRPr="00955834">
        <w:rPr>
          <w:noProof/>
          <w:sz w:val="22"/>
        </w:rPr>
        <w:fldChar w:fldCharType="begin"/>
      </w:r>
      <w:r w:rsidRPr="00955834">
        <w:rPr>
          <w:noProof/>
          <w:sz w:val="22"/>
        </w:rPr>
        <w:instrText xml:space="preserve"> PAGEREF _Toc102560674 \h </w:instrText>
      </w:r>
      <w:r w:rsidRPr="00955834">
        <w:rPr>
          <w:noProof/>
          <w:sz w:val="22"/>
        </w:rPr>
      </w:r>
      <w:r w:rsidRPr="00955834">
        <w:rPr>
          <w:noProof/>
          <w:sz w:val="22"/>
        </w:rPr>
        <w:fldChar w:fldCharType="separate"/>
      </w:r>
      <w:r w:rsidR="00BC73C8">
        <w:rPr>
          <w:noProof/>
          <w:sz w:val="22"/>
        </w:rPr>
        <w:t>8</w:t>
      </w:r>
      <w:r w:rsidRPr="00955834">
        <w:rPr>
          <w:noProof/>
          <w:sz w:val="22"/>
        </w:rPr>
        <w:fldChar w:fldCharType="end"/>
      </w:r>
    </w:p>
    <w:p w14:paraId="4EBF73FD"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7: External Debt by Borrower Category 2017-2021</w:t>
      </w:r>
      <w:r w:rsidRPr="00955834">
        <w:rPr>
          <w:noProof/>
          <w:sz w:val="22"/>
        </w:rPr>
        <w:tab/>
      </w:r>
      <w:r w:rsidRPr="00955834">
        <w:rPr>
          <w:noProof/>
          <w:sz w:val="22"/>
        </w:rPr>
        <w:fldChar w:fldCharType="begin"/>
      </w:r>
      <w:r w:rsidRPr="00955834">
        <w:rPr>
          <w:noProof/>
          <w:sz w:val="22"/>
        </w:rPr>
        <w:instrText xml:space="preserve"> PAGEREF _Toc102560675 \h </w:instrText>
      </w:r>
      <w:r w:rsidRPr="00955834">
        <w:rPr>
          <w:noProof/>
          <w:sz w:val="22"/>
        </w:rPr>
      </w:r>
      <w:r w:rsidRPr="00955834">
        <w:rPr>
          <w:noProof/>
          <w:sz w:val="22"/>
        </w:rPr>
        <w:fldChar w:fldCharType="separate"/>
      </w:r>
      <w:r w:rsidR="00BC73C8">
        <w:rPr>
          <w:noProof/>
          <w:sz w:val="22"/>
        </w:rPr>
        <w:t>8</w:t>
      </w:r>
      <w:r w:rsidRPr="00955834">
        <w:rPr>
          <w:noProof/>
          <w:sz w:val="22"/>
        </w:rPr>
        <w:fldChar w:fldCharType="end"/>
      </w:r>
    </w:p>
    <w:p w14:paraId="21D18DF9"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8: External Debt by Currency Composition 2017-2021</w:t>
      </w:r>
      <w:r w:rsidRPr="00955834">
        <w:rPr>
          <w:noProof/>
          <w:sz w:val="22"/>
        </w:rPr>
        <w:tab/>
      </w:r>
      <w:r w:rsidRPr="00955834">
        <w:rPr>
          <w:noProof/>
          <w:sz w:val="22"/>
        </w:rPr>
        <w:fldChar w:fldCharType="begin"/>
      </w:r>
      <w:r w:rsidRPr="00955834">
        <w:rPr>
          <w:noProof/>
          <w:sz w:val="22"/>
        </w:rPr>
        <w:instrText xml:space="preserve"> PAGEREF _Toc102560676 \h </w:instrText>
      </w:r>
      <w:r w:rsidRPr="00955834">
        <w:rPr>
          <w:noProof/>
          <w:sz w:val="22"/>
        </w:rPr>
      </w:r>
      <w:r w:rsidRPr="00955834">
        <w:rPr>
          <w:noProof/>
          <w:sz w:val="22"/>
        </w:rPr>
        <w:fldChar w:fldCharType="separate"/>
      </w:r>
      <w:r w:rsidR="00BC73C8">
        <w:rPr>
          <w:noProof/>
          <w:sz w:val="22"/>
        </w:rPr>
        <w:t>9</w:t>
      </w:r>
      <w:r w:rsidRPr="00955834">
        <w:rPr>
          <w:noProof/>
          <w:sz w:val="22"/>
        </w:rPr>
        <w:fldChar w:fldCharType="end"/>
      </w:r>
    </w:p>
    <w:p w14:paraId="7F4053DB"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9: External Debt by Interest Type 2017-2021</w:t>
      </w:r>
      <w:r w:rsidRPr="00955834">
        <w:rPr>
          <w:noProof/>
          <w:sz w:val="22"/>
        </w:rPr>
        <w:tab/>
      </w:r>
      <w:r w:rsidRPr="00955834">
        <w:rPr>
          <w:noProof/>
          <w:sz w:val="22"/>
        </w:rPr>
        <w:fldChar w:fldCharType="begin"/>
      </w:r>
      <w:r w:rsidRPr="00955834">
        <w:rPr>
          <w:noProof/>
          <w:sz w:val="22"/>
        </w:rPr>
        <w:instrText xml:space="preserve"> PAGEREF _Toc102560677 \h </w:instrText>
      </w:r>
      <w:r w:rsidRPr="00955834">
        <w:rPr>
          <w:noProof/>
          <w:sz w:val="22"/>
        </w:rPr>
      </w:r>
      <w:r w:rsidRPr="00955834">
        <w:rPr>
          <w:noProof/>
          <w:sz w:val="22"/>
        </w:rPr>
        <w:fldChar w:fldCharType="separate"/>
      </w:r>
      <w:r w:rsidR="00BC73C8">
        <w:rPr>
          <w:noProof/>
          <w:sz w:val="22"/>
        </w:rPr>
        <w:t>9</w:t>
      </w:r>
      <w:r w:rsidRPr="00955834">
        <w:rPr>
          <w:noProof/>
          <w:sz w:val="22"/>
        </w:rPr>
        <w:fldChar w:fldCharType="end"/>
      </w:r>
    </w:p>
    <w:p w14:paraId="61DE06EC"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 xml:space="preserve">Figure 10: </w:t>
      </w:r>
      <w:r w:rsidRPr="00955834">
        <w:rPr>
          <w:rFonts w:cs="Times New Roman"/>
          <w:noProof/>
          <w:sz w:val="22"/>
          <w:lang w:val="en-US"/>
        </w:rPr>
        <w:t>External Debt by Creditor Category 2021</w:t>
      </w:r>
      <w:r w:rsidRPr="00955834">
        <w:rPr>
          <w:noProof/>
          <w:sz w:val="22"/>
        </w:rPr>
        <w:tab/>
      </w:r>
      <w:r w:rsidRPr="00955834">
        <w:rPr>
          <w:noProof/>
          <w:sz w:val="22"/>
        </w:rPr>
        <w:fldChar w:fldCharType="begin"/>
      </w:r>
      <w:r w:rsidRPr="00955834">
        <w:rPr>
          <w:noProof/>
          <w:sz w:val="22"/>
        </w:rPr>
        <w:instrText xml:space="preserve"> PAGEREF _Toc102560678 \h </w:instrText>
      </w:r>
      <w:r w:rsidRPr="00955834">
        <w:rPr>
          <w:noProof/>
          <w:sz w:val="22"/>
        </w:rPr>
      </w:r>
      <w:r w:rsidRPr="00955834">
        <w:rPr>
          <w:noProof/>
          <w:sz w:val="22"/>
        </w:rPr>
        <w:fldChar w:fldCharType="separate"/>
      </w:r>
      <w:r w:rsidR="00BC73C8">
        <w:rPr>
          <w:noProof/>
          <w:sz w:val="22"/>
        </w:rPr>
        <w:t>10</w:t>
      </w:r>
      <w:r w:rsidRPr="00955834">
        <w:rPr>
          <w:noProof/>
          <w:sz w:val="22"/>
        </w:rPr>
        <w:fldChar w:fldCharType="end"/>
      </w:r>
    </w:p>
    <w:p w14:paraId="1DBC6A12"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 xml:space="preserve">Figure 11: </w:t>
      </w:r>
      <w:r w:rsidRPr="00955834">
        <w:rPr>
          <w:rFonts w:cs="Times New Roman"/>
          <w:iCs/>
          <w:noProof/>
          <w:kern w:val="24"/>
          <w:sz w:val="22"/>
          <w:lang w:val="en-US"/>
        </w:rPr>
        <w:t>External Debt by Instrument 2017-2021</w:t>
      </w:r>
      <w:r w:rsidRPr="00955834">
        <w:rPr>
          <w:noProof/>
          <w:sz w:val="22"/>
        </w:rPr>
        <w:tab/>
      </w:r>
      <w:r w:rsidRPr="00955834">
        <w:rPr>
          <w:noProof/>
          <w:sz w:val="22"/>
        </w:rPr>
        <w:fldChar w:fldCharType="begin"/>
      </w:r>
      <w:r w:rsidRPr="00955834">
        <w:rPr>
          <w:noProof/>
          <w:sz w:val="22"/>
        </w:rPr>
        <w:instrText xml:space="preserve"> PAGEREF _Toc102560679 \h </w:instrText>
      </w:r>
      <w:r w:rsidRPr="00955834">
        <w:rPr>
          <w:noProof/>
          <w:sz w:val="22"/>
        </w:rPr>
      </w:r>
      <w:r w:rsidRPr="00955834">
        <w:rPr>
          <w:noProof/>
          <w:sz w:val="22"/>
        </w:rPr>
        <w:fldChar w:fldCharType="separate"/>
      </w:r>
      <w:r w:rsidR="00BC73C8">
        <w:rPr>
          <w:noProof/>
          <w:sz w:val="22"/>
        </w:rPr>
        <w:t>10</w:t>
      </w:r>
      <w:r w:rsidRPr="00955834">
        <w:rPr>
          <w:noProof/>
          <w:sz w:val="22"/>
        </w:rPr>
        <w:fldChar w:fldCharType="end"/>
      </w:r>
    </w:p>
    <w:p w14:paraId="603E0250"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12: External Debt By Economic Sector 2021</w:t>
      </w:r>
      <w:r w:rsidRPr="00955834">
        <w:rPr>
          <w:noProof/>
          <w:sz w:val="22"/>
        </w:rPr>
        <w:tab/>
      </w:r>
      <w:r w:rsidRPr="00955834">
        <w:rPr>
          <w:noProof/>
          <w:sz w:val="22"/>
        </w:rPr>
        <w:fldChar w:fldCharType="begin"/>
      </w:r>
      <w:r w:rsidRPr="00955834">
        <w:rPr>
          <w:noProof/>
          <w:sz w:val="22"/>
        </w:rPr>
        <w:instrText xml:space="preserve"> PAGEREF _Toc102560680 \h </w:instrText>
      </w:r>
      <w:r w:rsidRPr="00955834">
        <w:rPr>
          <w:noProof/>
          <w:sz w:val="22"/>
        </w:rPr>
      </w:r>
      <w:r w:rsidRPr="00955834">
        <w:rPr>
          <w:noProof/>
          <w:sz w:val="22"/>
        </w:rPr>
        <w:fldChar w:fldCharType="separate"/>
      </w:r>
      <w:r w:rsidR="00BC73C8">
        <w:rPr>
          <w:noProof/>
          <w:sz w:val="22"/>
        </w:rPr>
        <w:t>11</w:t>
      </w:r>
      <w:r w:rsidRPr="00955834">
        <w:rPr>
          <w:noProof/>
          <w:sz w:val="22"/>
        </w:rPr>
        <w:fldChar w:fldCharType="end"/>
      </w:r>
    </w:p>
    <w:p w14:paraId="45EBA5BB"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13:  Central Government Debt by Residency 2017-2021</w:t>
      </w:r>
      <w:r w:rsidRPr="00955834">
        <w:rPr>
          <w:noProof/>
          <w:sz w:val="22"/>
        </w:rPr>
        <w:tab/>
      </w:r>
      <w:r w:rsidRPr="00955834">
        <w:rPr>
          <w:noProof/>
          <w:sz w:val="22"/>
        </w:rPr>
        <w:fldChar w:fldCharType="begin"/>
      </w:r>
      <w:r w:rsidRPr="00955834">
        <w:rPr>
          <w:noProof/>
          <w:sz w:val="22"/>
        </w:rPr>
        <w:instrText xml:space="preserve"> PAGEREF _Toc102560681 \h </w:instrText>
      </w:r>
      <w:r w:rsidRPr="00955834">
        <w:rPr>
          <w:noProof/>
          <w:sz w:val="22"/>
        </w:rPr>
      </w:r>
      <w:r w:rsidRPr="00955834">
        <w:rPr>
          <w:noProof/>
          <w:sz w:val="22"/>
        </w:rPr>
        <w:fldChar w:fldCharType="separate"/>
      </w:r>
      <w:r w:rsidR="00BC73C8">
        <w:rPr>
          <w:noProof/>
          <w:sz w:val="22"/>
        </w:rPr>
        <w:t>11</w:t>
      </w:r>
      <w:r w:rsidRPr="00955834">
        <w:rPr>
          <w:noProof/>
          <w:sz w:val="22"/>
        </w:rPr>
        <w:fldChar w:fldCharType="end"/>
      </w:r>
    </w:p>
    <w:p w14:paraId="7C41DBA2"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14</w:t>
      </w:r>
      <w:r w:rsidRPr="00955834">
        <w:rPr>
          <w:rFonts w:cs="Times New Roman"/>
          <w:noProof/>
          <w:sz w:val="22"/>
          <w:lang w:val="en-US"/>
        </w:rPr>
        <w:t>: Central Government Debt by Instrument 2017-2021</w:t>
      </w:r>
      <w:r w:rsidRPr="00955834">
        <w:rPr>
          <w:noProof/>
          <w:sz w:val="22"/>
        </w:rPr>
        <w:tab/>
      </w:r>
      <w:r w:rsidRPr="00955834">
        <w:rPr>
          <w:noProof/>
          <w:sz w:val="22"/>
        </w:rPr>
        <w:fldChar w:fldCharType="begin"/>
      </w:r>
      <w:r w:rsidRPr="00955834">
        <w:rPr>
          <w:noProof/>
          <w:sz w:val="22"/>
        </w:rPr>
        <w:instrText xml:space="preserve"> PAGEREF _Toc102560682 \h </w:instrText>
      </w:r>
      <w:r w:rsidRPr="00955834">
        <w:rPr>
          <w:noProof/>
          <w:sz w:val="22"/>
        </w:rPr>
      </w:r>
      <w:r w:rsidRPr="00955834">
        <w:rPr>
          <w:noProof/>
          <w:sz w:val="22"/>
        </w:rPr>
        <w:fldChar w:fldCharType="separate"/>
      </w:r>
      <w:r w:rsidR="00BC73C8">
        <w:rPr>
          <w:noProof/>
          <w:sz w:val="22"/>
        </w:rPr>
        <w:t>12</w:t>
      </w:r>
      <w:r w:rsidRPr="00955834">
        <w:rPr>
          <w:noProof/>
          <w:sz w:val="22"/>
        </w:rPr>
        <w:fldChar w:fldCharType="end"/>
      </w:r>
    </w:p>
    <w:p w14:paraId="0593DADA"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15</w:t>
      </w:r>
      <w:r w:rsidRPr="00955834">
        <w:rPr>
          <w:rFonts w:cs="Times New Roman"/>
          <w:noProof/>
          <w:sz w:val="22"/>
          <w:lang w:val="en-US"/>
        </w:rPr>
        <w:t>: Central Government Debt by Currency Composition 2017-2021</w:t>
      </w:r>
      <w:r w:rsidRPr="00955834">
        <w:rPr>
          <w:noProof/>
          <w:sz w:val="22"/>
        </w:rPr>
        <w:tab/>
      </w:r>
      <w:r w:rsidRPr="00955834">
        <w:rPr>
          <w:noProof/>
          <w:sz w:val="22"/>
        </w:rPr>
        <w:fldChar w:fldCharType="begin"/>
      </w:r>
      <w:r w:rsidRPr="00955834">
        <w:rPr>
          <w:noProof/>
          <w:sz w:val="22"/>
        </w:rPr>
        <w:instrText xml:space="preserve"> PAGEREF _Toc102560683 \h </w:instrText>
      </w:r>
      <w:r w:rsidRPr="00955834">
        <w:rPr>
          <w:noProof/>
          <w:sz w:val="22"/>
        </w:rPr>
      </w:r>
      <w:r w:rsidRPr="00955834">
        <w:rPr>
          <w:noProof/>
          <w:sz w:val="22"/>
        </w:rPr>
        <w:fldChar w:fldCharType="separate"/>
      </w:r>
      <w:r w:rsidR="00BC73C8">
        <w:rPr>
          <w:noProof/>
          <w:sz w:val="22"/>
        </w:rPr>
        <w:t>12</w:t>
      </w:r>
      <w:r w:rsidRPr="00955834">
        <w:rPr>
          <w:noProof/>
          <w:sz w:val="22"/>
        </w:rPr>
        <w:fldChar w:fldCharType="end"/>
      </w:r>
    </w:p>
    <w:p w14:paraId="143FA08F"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16: RGSM Securities 2017-2021</w:t>
      </w:r>
      <w:r w:rsidRPr="00955834">
        <w:rPr>
          <w:noProof/>
          <w:sz w:val="22"/>
        </w:rPr>
        <w:tab/>
      </w:r>
      <w:r w:rsidRPr="00955834">
        <w:rPr>
          <w:noProof/>
          <w:sz w:val="22"/>
        </w:rPr>
        <w:fldChar w:fldCharType="begin"/>
      </w:r>
      <w:r w:rsidRPr="00955834">
        <w:rPr>
          <w:noProof/>
          <w:sz w:val="22"/>
        </w:rPr>
        <w:instrText xml:space="preserve"> PAGEREF _Toc102560684 \h </w:instrText>
      </w:r>
      <w:r w:rsidRPr="00955834">
        <w:rPr>
          <w:noProof/>
          <w:sz w:val="22"/>
        </w:rPr>
      </w:r>
      <w:r w:rsidRPr="00955834">
        <w:rPr>
          <w:noProof/>
          <w:sz w:val="22"/>
        </w:rPr>
        <w:fldChar w:fldCharType="separate"/>
      </w:r>
      <w:r w:rsidR="00BC73C8">
        <w:rPr>
          <w:noProof/>
          <w:sz w:val="22"/>
        </w:rPr>
        <w:t>13</w:t>
      </w:r>
      <w:r w:rsidRPr="00955834">
        <w:rPr>
          <w:noProof/>
          <w:sz w:val="22"/>
        </w:rPr>
        <w:fldChar w:fldCharType="end"/>
      </w:r>
    </w:p>
    <w:p w14:paraId="67FF4CBD"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 xml:space="preserve">Figure 17: </w:t>
      </w:r>
      <w:r w:rsidRPr="00955834">
        <w:rPr>
          <w:rFonts w:cs="Times New Roman"/>
          <w:noProof/>
          <w:sz w:val="22"/>
          <w:lang w:val="en-US"/>
        </w:rPr>
        <w:t>Private Placement Securities 2017-2021</w:t>
      </w:r>
      <w:r w:rsidRPr="00955834">
        <w:rPr>
          <w:noProof/>
          <w:sz w:val="22"/>
        </w:rPr>
        <w:tab/>
      </w:r>
      <w:r w:rsidRPr="00955834">
        <w:rPr>
          <w:noProof/>
          <w:sz w:val="22"/>
        </w:rPr>
        <w:fldChar w:fldCharType="begin"/>
      </w:r>
      <w:r w:rsidRPr="00955834">
        <w:rPr>
          <w:noProof/>
          <w:sz w:val="22"/>
        </w:rPr>
        <w:instrText xml:space="preserve"> PAGEREF _Toc102560685 \h </w:instrText>
      </w:r>
      <w:r w:rsidRPr="00955834">
        <w:rPr>
          <w:noProof/>
          <w:sz w:val="22"/>
        </w:rPr>
      </w:r>
      <w:r w:rsidRPr="00955834">
        <w:rPr>
          <w:noProof/>
          <w:sz w:val="22"/>
        </w:rPr>
        <w:fldChar w:fldCharType="separate"/>
      </w:r>
      <w:r w:rsidR="00BC73C8">
        <w:rPr>
          <w:noProof/>
          <w:sz w:val="22"/>
        </w:rPr>
        <w:t>14</w:t>
      </w:r>
      <w:r w:rsidRPr="00955834">
        <w:rPr>
          <w:noProof/>
          <w:sz w:val="22"/>
        </w:rPr>
        <w:fldChar w:fldCharType="end"/>
      </w:r>
    </w:p>
    <w:p w14:paraId="482FD0BE"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18: Central Government Total Debt Service 2017-2021</w:t>
      </w:r>
      <w:r w:rsidRPr="00955834">
        <w:rPr>
          <w:noProof/>
          <w:sz w:val="22"/>
        </w:rPr>
        <w:tab/>
      </w:r>
      <w:r w:rsidRPr="00955834">
        <w:rPr>
          <w:noProof/>
          <w:sz w:val="22"/>
        </w:rPr>
        <w:fldChar w:fldCharType="begin"/>
      </w:r>
      <w:r w:rsidRPr="00955834">
        <w:rPr>
          <w:noProof/>
          <w:sz w:val="22"/>
        </w:rPr>
        <w:instrText xml:space="preserve"> PAGEREF _Toc102560686 \h </w:instrText>
      </w:r>
      <w:r w:rsidRPr="00955834">
        <w:rPr>
          <w:noProof/>
          <w:sz w:val="22"/>
        </w:rPr>
      </w:r>
      <w:r w:rsidRPr="00955834">
        <w:rPr>
          <w:noProof/>
          <w:sz w:val="22"/>
        </w:rPr>
        <w:fldChar w:fldCharType="separate"/>
      </w:r>
      <w:r w:rsidR="00BC73C8">
        <w:rPr>
          <w:noProof/>
          <w:sz w:val="22"/>
        </w:rPr>
        <w:t>14</w:t>
      </w:r>
      <w:r w:rsidRPr="00955834">
        <w:rPr>
          <w:noProof/>
          <w:sz w:val="22"/>
        </w:rPr>
        <w:fldChar w:fldCharType="end"/>
      </w:r>
    </w:p>
    <w:p w14:paraId="6D67D9F2"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19:  Central Government Principal and Interest Payments 2017-2021</w:t>
      </w:r>
      <w:r w:rsidRPr="00955834">
        <w:rPr>
          <w:noProof/>
          <w:sz w:val="22"/>
        </w:rPr>
        <w:tab/>
      </w:r>
      <w:r w:rsidRPr="00955834">
        <w:rPr>
          <w:noProof/>
          <w:sz w:val="22"/>
        </w:rPr>
        <w:fldChar w:fldCharType="begin"/>
      </w:r>
      <w:r w:rsidRPr="00955834">
        <w:rPr>
          <w:noProof/>
          <w:sz w:val="22"/>
        </w:rPr>
        <w:instrText xml:space="preserve"> PAGEREF _Toc102560687 \h </w:instrText>
      </w:r>
      <w:r w:rsidRPr="00955834">
        <w:rPr>
          <w:noProof/>
          <w:sz w:val="22"/>
        </w:rPr>
      </w:r>
      <w:r w:rsidRPr="00955834">
        <w:rPr>
          <w:noProof/>
          <w:sz w:val="22"/>
        </w:rPr>
        <w:fldChar w:fldCharType="separate"/>
      </w:r>
      <w:r w:rsidR="00BC73C8">
        <w:rPr>
          <w:noProof/>
          <w:sz w:val="22"/>
        </w:rPr>
        <w:t>15</w:t>
      </w:r>
      <w:r w:rsidRPr="00955834">
        <w:rPr>
          <w:noProof/>
          <w:sz w:val="22"/>
        </w:rPr>
        <w:fldChar w:fldCharType="end"/>
      </w:r>
    </w:p>
    <w:p w14:paraId="4420F959"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20: Central Government Loan Disbursements 2021</w:t>
      </w:r>
      <w:r w:rsidRPr="00955834">
        <w:rPr>
          <w:noProof/>
          <w:sz w:val="22"/>
        </w:rPr>
        <w:tab/>
      </w:r>
      <w:r w:rsidRPr="00955834">
        <w:rPr>
          <w:noProof/>
          <w:sz w:val="22"/>
        </w:rPr>
        <w:fldChar w:fldCharType="begin"/>
      </w:r>
      <w:r w:rsidRPr="00955834">
        <w:rPr>
          <w:noProof/>
          <w:sz w:val="22"/>
        </w:rPr>
        <w:instrText xml:space="preserve"> PAGEREF _Toc102560688 \h </w:instrText>
      </w:r>
      <w:r w:rsidRPr="00955834">
        <w:rPr>
          <w:noProof/>
          <w:sz w:val="22"/>
        </w:rPr>
      </w:r>
      <w:r w:rsidRPr="00955834">
        <w:rPr>
          <w:noProof/>
          <w:sz w:val="22"/>
        </w:rPr>
        <w:fldChar w:fldCharType="separate"/>
      </w:r>
      <w:r w:rsidR="00BC73C8">
        <w:rPr>
          <w:noProof/>
          <w:sz w:val="22"/>
        </w:rPr>
        <w:t>15</w:t>
      </w:r>
      <w:r w:rsidRPr="00955834">
        <w:rPr>
          <w:noProof/>
          <w:sz w:val="22"/>
        </w:rPr>
        <w:fldChar w:fldCharType="end"/>
      </w:r>
    </w:p>
    <w:p w14:paraId="400A9C7B"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21:</w:t>
      </w:r>
      <w:r w:rsidRPr="00955834">
        <w:rPr>
          <w:bCs/>
          <w:smallCaps/>
          <w:noProof/>
          <w:sz w:val="22"/>
        </w:rPr>
        <w:t xml:space="preserve"> </w:t>
      </w:r>
      <w:r w:rsidRPr="00955834">
        <w:rPr>
          <w:rFonts w:cs="Times New Roman"/>
          <w:noProof/>
          <w:sz w:val="22"/>
        </w:rPr>
        <w:t>ATM and ATR Progression 2017-2021</w:t>
      </w:r>
      <w:r w:rsidRPr="00955834">
        <w:rPr>
          <w:noProof/>
          <w:sz w:val="22"/>
        </w:rPr>
        <w:tab/>
      </w:r>
      <w:r w:rsidRPr="00955834">
        <w:rPr>
          <w:noProof/>
          <w:sz w:val="22"/>
        </w:rPr>
        <w:fldChar w:fldCharType="begin"/>
      </w:r>
      <w:r w:rsidRPr="00955834">
        <w:rPr>
          <w:noProof/>
          <w:sz w:val="22"/>
        </w:rPr>
        <w:instrText xml:space="preserve"> PAGEREF _Toc102560689 \h </w:instrText>
      </w:r>
      <w:r w:rsidRPr="00955834">
        <w:rPr>
          <w:noProof/>
          <w:sz w:val="22"/>
        </w:rPr>
      </w:r>
      <w:r w:rsidRPr="00955834">
        <w:rPr>
          <w:noProof/>
          <w:sz w:val="22"/>
        </w:rPr>
        <w:fldChar w:fldCharType="separate"/>
      </w:r>
      <w:r w:rsidR="00BC73C8">
        <w:rPr>
          <w:noProof/>
          <w:sz w:val="22"/>
        </w:rPr>
        <w:t>16</w:t>
      </w:r>
      <w:r w:rsidRPr="00955834">
        <w:rPr>
          <w:noProof/>
          <w:sz w:val="22"/>
        </w:rPr>
        <w:fldChar w:fldCharType="end"/>
      </w:r>
    </w:p>
    <w:p w14:paraId="7221E9A8"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 xml:space="preserve">Figure 22: </w:t>
      </w:r>
      <w:r w:rsidRPr="00955834">
        <w:rPr>
          <w:rFonts w:cs="Times New Roman"/>
          <w:noProof/>
          <w:sz w:val="22"/>
          <w:lang w:val="en-US"/>
        </w:rPr>
        <w:t>Currency Composition 2021</w:t>
      </w:r>
      <w:r w:rsidRPr="00955834">
        <w:rPr>
          <w:noProof/>
          <w:sz w:val="22"/>
        </w:rPr>
        <w:tab/>
      </w:r>
      <w:r w:rsidRPr="00955834">
        <w:rPr>
          <w:noProof/>
          <w:sz w:val="22"/>
        </w:rPr>
        <w:fldChar w:fldCharType="begin"/>
      </w:r>
      <w:r w:rsidRPr="00955834">
        <w:rPr>
          <w:noProof/>
          <w:sz w:val="22"/>
        </w:rPr>
        <w:instrText xml:space="preserve"> PAGEREF _Toc102560690 \h </w:instrText>
      </w:r>
      <w:r w:rsidRPr="00955834">
        <w:rPr>
          <w:noProof/>
          <w:sz w:val="22"/>
        </w:rPr>
      </w:r>
      <w:r w:rsidRPr="00955834">
        <w:rPr>
          <w:noProof/>
          <w:sz w:val="22"/>
        </w:rPr>
        <w:fldChar w:fldCharType="separate"/>
      </w:r>
      <w:r w:rsidR="00BC73C8">
        <w:rPr>
          <w:noProof/>
          <w:sz w:val="22"/>
        </w:rPr>
        <w:t>17</w:t>
      </w:r>
      <w:r w:rsidRPr="00955834">
        <w:rPr>
          <w:noProof/>
          <w:sz w:val="22"/>
        </w:rPr>
        <w:fldChar w:fldCharType="end"/>
      </w:r>
    </w:p>
    <w:p w14:paraId="1A0DBD1B"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 xml:space="preserve">Figure 23: </w:t>
      </w:r>
      <w:r w:rsidRPr="00955834">
        <w:rPr>
          <w:rFonts w:cs="Times New Roman"/>
          <w:noProof/>
          <w:sz w:val="22"/>
          <w:lang w:val="en-US"/>
        </w:rPr>
        <w:t>Interest Rate Composition 2021</w:t>
      </w:r>
      <w:r w:rsidRPr="00955834">
        <w:rPr>
          <w:noProof/>
          <w:sz w:val="22"/>
        </w:rPr>
        <w:tab/>
      </w:r>
      <w:r w:rsidRPr="00955834">
        <w:rPr>
          <w:noProof/>
          <w:sz w:val="22"/>
        </w:rPr>
        <w:fldChar w:fldCharType="begin"/>
      </w:r>
      <w:r w:rsidRPr="00955834">
        <w:rPr>
          <w:noProof/>
          <w:sz w:val="22"/>
        </w:rPr>
        <w:instrText xml:space="preserve"> PAGEREF _Toc102560691 \h </w:instrText>
      </w:r>
      <w:r w:rsidRPr="00955834">
        <w:rPr>
          <w:noProof/>
          <w:sz w:val="22"/>
        </w:rPr>
      </w:r>
      <w:r w:rsidRPr="00955834">
        <w:rPr>
          <w:noProof/>
          <w:sz w:val="22"/>
        </w:rPr>
        <w:fldChar w:fldCharType="separate"/>
      </w:r>
      <w:r w:rsidR="00BC73C8">
        <w:rPr>
          <w:noProof/>
          <w:sz w:val="22"/>
        </w:rPr>
        <w:t>17</w:t>
      </w:r>
      <w:r w:rsidRPr="00955834">
        <w:rPr>
          <w:noProof/>
          <w:sz w:val="22"/>
        </w:rPr>
        <w:fldChar w:fldCharType="end"/>
      </w:r>
    </w:p>
    <w:p w14:paraId="1C1C7E04"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24: Per</w:t>
      </w:r>
      <w:r w:rsidRPr="00955834">
        <w:rPr>
          <w:rFonts w:cs="Times New Roman"/>
          <w:noProof/>
          <w:sz w:val="22"/>
          <w:lang w:val="en-US"/>
        </w:rPr>
        <w:t>centage of Debt maturing within the Year 2021</w:t>
      </w:r>
      <w:r w:rsidRPr="00955834">
        <w:rPr>
          <w:noProof/>
          <w:sz w:val="22"/>
        </w:rPr>
        <w:tab/>
      </w:r>
      <w:r w:rsidRPr="00955834">
        <w:rPr>
          <w:noProof/>
          <w:sz w:val="22"/>
        </w:rPr>
        <w:fldChar w:fldCharType="begin"/>
      </w:r>
      <w:r w:rsidRPr="00955834">
        <w:rPr>
          <w:noProof/>
          <w:sz w:val="22"/>
        </w:rPr>
        <w:instrText xml:space="preserve"> PAGEREF _Toc102560692 \h </w:instrText>
      </w:r>
      <w:r w:rsidRPr="00955834">
        <w:rPr>
          <w:noProof/>
          <w:sz w:val="22"/>
        </w:rPr>
      </w:r>
      <w:r w:rsidRPr="00955834">
        <w:rPr>
          <w:noProof/>
          <w:sz w:val="22"/>
        </w:rPr>
        <w:fldChar w:fldCharType="separate"/>
      </w:r>
      <w:r w:rsidR="00BC73C8">
        <w:rPr>
          <w:noProof/>
          <w:sz w:val="22"/>
        </w:rPr>
        <w:t>18</w:t>
      </w:r>
      <w:r w:rsidRPr="00955834">
        <w:rPr>
          <w:noProof/>
          <w:sz w:val="22"/>
        </w:rPr>
        <w:fldChar w:fldCharType="end"/>
      </w:r>
    </w:p>
    <w:p w14:paraId="0C1B24B1"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25: Redemption Profile 2022-2050</w:t>
      </w:r>
      <w:r w:rsidRPr="00955834">
        <w:rPr>
          <w:noProof/>
          <w:sz w:val="22"/>
        </w:rPr>
        <w:tab/>
      </w:r>
      <w:r w:rsidRPr="00955834">
        <w:rPr>
          <w:noProof/>
          <w:sz w:val="22"/>
        </w:rPr>
        <w:fldChar w:fldCharType="begin"/>
      </w:r>
      <w:r w:rsidRPr="00955834">
        <w:rPr>
          <w:noProof/>
          <w:sz w:val="22"/>
        </w:rPr>
        <w:instrText xml:space="preserve"> PAGEREF _Toc102560693 \h </w:instrText>
      </w:r>
      <w:r w:rsidRPr="00955834">
        <w:rPr>
          <w:noProof/>
          <w:sz w:val="22"/>
        </w:rPr>
      </w:r>
      <w:r w:rsidRPr="00955834">
        <w:rPr>
          <w:noProof/>
          <w:sz w:val="22"/>
        </w:rPr>
        <w:fldChar w:fldCharType="separate"/>
      </w:r>
      <w:r w:rsidR="00BC73C8">
        <w:rPr>
          <w:noProof/>
          <w:sz w:val="22"/>
        </w:rPr>
        <w:t>18</w:t>
      </w:r>
      <w:r w:rsidRPr="00955834">
        <w:rPr>
          <w:noProof/>
          <w:sz w:val="22"/>
        </w:rPr>
        <w:fldChar w:fldCharType="end"/>
      </w:r>
    </w:p>
    <w:p w14:paraId="085B477C"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26</w:t>
      </w:r>
      <w:r w:rsidRPr="00955834">
        <w:rPr>
          <w:bCs/>
          <w:smallCaps/>
          <w:noProof/>
          <w:sz w:val="22"/>
        </w:rPr>
        <w:t xml:space="preserve">: </w:t>
      </w:r>
      <w:r w:rsidRPr="00955834">
        <w:rPr>
          <w:rFonts w:cs="Times New Roman"/>
          <w:noProof/>
          <w:sz w:val="22"/>
          <w:lang w:val="en-US"/>
        </w:rPr>
        <w:t>Contingent Liabilities by Guarantee Status 2017-2021</w:t>
      </w:r>
      <w:r w:rsidRPr="00955834">
        <w:rPr>
          <w:noProof/>
          <w:sz w:val="22"/>
        </w:rPr>
        <w:tab/>
      </w:r>
      <w:r w:rsidRPr="00955834">
        <w:rPr>
          <w:noProof/>
          <w:sz w:val="22"/>
        </w:rPr>
        <w:fldChar w:fldCharType="begin"/>
      </w:r>
      <w:r w:rsidRPr="00955834">
        <w:rPr>
          <w:noProof/>
          <w:sz w:val="22"/>
        </w:rPr>
        <w:instrText xml:space="preserve"> PAGEREF _Toc102560694 \h </w:instrText>
      </w:r>
      <w:r w:rsidRPr="00955834">
        <w:rPr>
          <w:noProof/>
          <w:sz w:val="22"/>
        </w:rPr>
      </w:r>
      <w:r w:rsidRPr="00955834">
        <w:rPr>
          <w:noProof/>
          <w:sz w:val="22"/>
        </w:rPr>
        <w:fldChar w:fldCharType="separate"/>
      </w:r>
      <w:r w:rsidR="00BC73C8">
        <w:rPr>
          <w:noProof/>
          <w:sz w:val="22"/>
        </w:rPr>
        <w:t>19</w:t>
      </w:r>
      <w:r w:rsidRPr="00955834">
        <w:rPr>
          <w:noProof/>
          <w:sz w:val="22"/>
        </w:rPr>
        <w:fldChar w:fldCharType="end"/>
      </w:r>
    </w:p>
    <w:p w14:paraId="30D227D4"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27: Contingent Liabilities by Residency 2017-2021</w:t>
      </w:r>
      <w:r w:rsidRPr="00955834">
        <w:rPr>
          <w:noProof/>
          <w:sz w:val="22"/>
        </w:rPr>
        <w:tab/>
      </w:r>
      <w:r w:rsidRPr="00955834">
        <w:rPr>
          <w:noProof/>
          <w:sz w:val="22"/>
        </w:rPr>
        <w:fldChar w:fldCharType="begin"/>
      </w:r>
      <w:r w:rsidRPr="00955834">
        <w:rPr>
          <w:noProof/>
          <w:sz w:val="22"/>
        </w:rPr>
        <w:instrText xml:space="preserve"> PAGEREF _Toc102560695 \h </w:instrText>
      </w:r>
      <w:r w:rsidRPr="00955834">
        <w:rPr>
          <w:noProof/>
          <w:sz w:val="22"/>
        </w:rPr>
      </w:r>
      <w:r w:rsidRPr="00955834">
        <w:rPr>
          <w:noProof/>
          <w:sz w:val="22"/>
        </w:rPr>
        <w:fldChar w:fldCharType="separate"/>
      </w:r>
      <w:r w:rsidR="00BC73C8">
        <w:rPr>
          <w:noProof/>
          <w:sz w:val="22"/>
        </w:rPr>
        <w:t>19</w:t>
      </w:r>
      <w:r w:rsidRPr="00955834">
        <w:rPr>
          <w:noProof/>
          <w:sz w:val="22"/>
        </w:rPr>
        <w:fldChar w:fldCharType="end"/>
      </w:r>
    </w:p>
    <w:p w14:paraId="094ECA4F"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Figure 28: Contingent Liabilities by Creditor 2021</w:t>
      </w:r>
      <w:r w:rsidRPr="00955834">
        <w:rPr>
          <w:noProof/>
          <w:sz w:val="22"/>
        </w:rPr>
        <w:tab/>
      </w:r>
      <w:r w:rsidRPr="00955834">
        <w:rPr>
          <w:noProof/>
          <w:sz w:val="22"/>
        </w:rPr>
        <w:fldChar w:fldCharType="begin"/>
      </w:r>
      <w:r w:rsidRPr="00955834">
        <w:rPr>
          <w:noProof/>
          <w:sz w:val="22"/>
        </w:rPr>
        <w:instrText xml:space="preserve"> PAGEREF _Toc102560696 \h </w:instrText>
      </w:r>
      <w:r w:rsidRPr="00955834">
        <w:rPr>
          <w:noProof/>
          <w:sz w:val="22"/>
        </w:rPr>
      </w:r>
      <w:r w:rsidRPr="00955834">
        <w:rPr>
          <w:noProof/>
          <w:sz w:val="22"/>
        </w:rPr>
        <w:fldChar w:fldCharType="separate"/>
      </w:r>
      <w:r w:rsidR="00BC73C8">
        <w:rPr>
          <w:noProof/>
          <w:sz w:val="22"/>
        </w:rPr>
        <w:t>20</w:t>
      </w:r>
      <w:r w:rsidRPr="00955834">
        <w:rPr>
          <w:noProof/>
          <w:sz w:val="22"/>
        </w:rPr>
        <w:fldChar w:fldCharType="end"/>
      </w:r>
    </w:p>
    <w:p w14:paraId="2EB3E775" w14:textId="77777777" w:rsidR="00217554" w:rsidRPr="00955834" w:rsidRDefault="00365B1B" w:rsidP="00217554">
      <w:pPr>
        <w:rPr>
          <w:rFonts w:cs="Times New Roman"/>
          <w:sz w:val="22"/>
          <w:szCs w:val="20"/>
        </w:rPr>
      </w:pPr>
      <w:r w:rsidRPr="00955834">
        <w:rPr>
          <w:rFonts w:cs="Times New Roman"/>
          <w:sz w:val="22"/>
          <w:szCs w:val="20"/>
        </w:rPr>
        <w:fldChar w:fldCharType="end"/>
      </w:r>
    </w:p>
    <w:p w14:paraId="46C3342B" w14:textId="77777777" w:rsidR="003C6D25" w:rsidRDefault="00365B1B" w:rsidP="003C6D25">
      <w:pPr>
        <w:pStyle w:val="Heading1"/>
        <w:jc w:val="left"/>
      </w:pPr>
      <w:bookmarkStart w:id="6" w:name="_Toc102558905"/>
      <w:r>
        <w:t>List of Tables</w:t>
      </w:r>
      <w:bookmarkEnd w:id="6"/>
    </w:p>
    <w:p w14:paraId="49B52618"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sz w:val="22"/>
        </w:rPr>
        <w:fldChar w:fldCharType="begin"/>
      </w:r>
      <w:r w:rsidRPr="00955834">
        <w:rPr>
          <w:sz w:val="22"/>
        </w:rPr>
        <w:instrText xml:space="preserve"> TOC \c "Table" </w:instrText>
      </w:r>
      <w:r w:rsidRPr="00955834">
        <w:rPr>
          <w:sz w:val="22"/>
        </w:rPr>
        <w:fldChar w:fldCharType="separate"/>
      </w:r>
      <w:r w:rsidRPr="00955834">
        <w:rPr>
          <w:rFonts w:cs="Times New Roman"/>
          <w:noProof/>
          <w:sz w:val="22"/>
        </w:rPr>
        <w:t>Table 1</w:t>
      </w:r>
      <w:r w:rsidRPr="00955834">
        <w:rPr>
          <w:rFonts w:eastAsia="Times New Roman" w:cs="Times New Roman"/>
          <w:iCs/>
          <w:noProof/>
          <w:sz w:val="22"/>
          <w:lang w:eastAsia="en-029"/>
        </w:rPr>
        <w:t xml:space="preserve"> Weighted Average Cost of Debt 2017-2021</w:t>
      </w:r>
      <w:r w:rsidRPr="00955834">
        <w:rPr>
          <w:noProof/>
          <w:sz w:val="22"/>
        </w:rPr>
        <w:tab/>
      </w:r>
      <w:r w:rsidRPr="00955834">
        <w:rPr>
          <w:noProof/>
          <w:sz w:val="22"/>
        </w:rPr>
        <w:fldChar w:fldCharType="begin"/>
      </w:r>
      <w:r w:rsidRPr="00955834">
        <w:rPr>
          <w:noProof/>
          <w:sz w:val="22"/>
        </w:rPr>
        <w:instrText xml:space="preserve"> PAGEREF _Toc102560587 \h </w:instrText>
      </w:r>
      <w:r w:rsidRPr="00955834">
        <w:rPr>
          <w:noProof/>
          <w:sz w:val="22"/>
        </w:rPr>
      </w:r>
      <w:r w:rsidRPr="00955834">
        <w:rPr>
          <w:noProof/>
          <w:sz w:val="22"/>
        </w:rPr>
        <w:fldChar w:fldCharType="separate"/>
      </w:r>
      <w:r w:rsidR="00BC73C8">
        <w:rPr>
          <w:noProof/>
          <w:sz w:val="22"/>
        </w:rPr>
        <w:t>17</w:t>
      </w:r>
      <w:r w:rsidRPr="00955834">
        <w:rPr>
          <w:noProof/>
          <w:sz w:val="22"/>
        </w:rPr>
        <w:fldChar w:fldCharType="end"/>
      </w:r>
    </w:p>
    <w:p w14:paraId="458343B4"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 xml:space="preserve">Table 2: </w:t>
      </w:r>
      <w:r w:rsidRPr="00955834">
        <w:rPr>
          <w:rFonts w:eastAsia="Times New Roman" w:cs="Times New Roman"/>
          <w:noProof/>
          <w:sz w:val="22"/>
          <w:lang w:eastAsia="en-029"/>
        </w:rPr>
        <w:t>Financing in 2021/2022</w:t>
      </w:r>
      <w:r w:rsidRPr="00955834">
        <w:rPr>
          <w:noProof/>
          <w:sz w:val="22"/>
        </w:rPr>
        <w:tab/>
      </w:r>
      <w:r w:rsidRPr="00955834">
        <w:rPr>
          <w:noProof/>
          <w:sz w:val="22"/>
        </w:rPr>
        <w:fldChar w:fldCharType="begin"/>
      </w:r>
      <w:r w:rsidRPr="00955834">
        <w:rPr>
          <w:noProof/>
          <w:sz w:val="22"/>
        </w:rPr>
        <w:instrText xml:space="preserve"> PAGEREF _Toc102560588 \h </w:instrText>
      </w:r>
      <w:r w:rsidRPr="00955834">
        <w:rPr>
          <w:noProof/>
          <w:sz w:val="22"/>
        </w:rPr>
      </w:r>
      <w:r w:rsidRPr="00955834">
        <w:rPr>
          <w:noProof/>
          <w:sz w:val="22"/>
        </w:rPr>
        <w:fldChar w:fldCharType="separate"/>
      </w:r>
      <w:r w:rsidR="00BC73C8">
        <w:rPr>
          <w:noProof/>
          <w:sz w:val="22"/>
        </w:rPr>
        <w:t>21</w:t>
      </w:r>
      <w:r w:rsidRPr="00955834">
        <w:rPr>
          <w:noProof/>
          <w:sz w:val="22"/>
        </w:rPr>
        <w:fldChar w:fldCharType="end"/>
      </w:r>
    </w:p>
    <w:p w14:paraId="57C93A30"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Table 3: Fiscal and Real Sector Indicators</w:t>
      </w:r>
      <w:r w:rsidRPr="00955834">
        <w:rPr>
          <w:noProof/>
          <w:sz w:val="22"/>
        </w:rPr>
        <w:tab/>
      </w:r>
      <w:r w:rsidRPr="00955834">
        <w:rPr>
          <w:noProof/>
          <w:sz w:val="22"/>
        </w:rPr>
        <w:fldChar w:fldCharType="begin"/>
      </w:r>
      <w:r w:rsidRPr="00955834">
        <w:rPr>
          <w:noProof/>
          <w:sz w:val="22"/>
        </w:rPr>
        <w:instrText xml:space="preserve"> PAGEREF _Toc102560589 \h </w:instrText>
      </w:r>
      <w:r w:rsidRPr="00955834">
        <w:rPr>
          <w:noProof/>
          <w:sz w:val="22"/>
        </w:rPr>
      </w:r>
      <w:r w:rsidRPr="00955834">
        <w:rPr>
          <w:noProof/>
          <w:sz w:val="22"/>
        </w:rPr>
        <w:fldChar w:fldCharType="separate"/>
      </w:r>
      <w:r w:rsidR="00BC73C8">
        <w:rPr>
          <w:noProof/>
          <w:sz w:val="22"/>
        </w:rPr>
        <w:t>21</w:t>
      </w:r>
      <w:r w:rsidRPr="00955834">
        <w:rPr>
          <w:noProof/>
          <w:sz w:val="22"/>
        </w:rPr>
        <w:fldChar w:fldCharType="end"/>
      </w:r>
    </w:p>
    <w:p w14:paraId="5DCA2F8F"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Table 4: Saint Lucia - RGSM Auction Results For 2021</w:t>
      </w:r>
      <w:r w:rsidRPr="00955834">
        <w:rPr>
          <w:noProof/>
          <w:sz w:val="22"/>
        </w:rPr>
        <w:tab/>
      </w:r>
      <w:r w:rsidRPr="00955834">
        <w:rPr>
          <w:noProof/>
          <w:sz w:val="22"/>
        </w:rPr>
        <w:fldChar w:fldCharType="begin"/>
      </w:r>
      <w:r w:rsidRPr="00955834">
        <w:rPr>
          <w:noProof/>
          <w:sz w:val="22"/>
        </w:rPr>
        <w:instrText xml:space="preserve"> PAGEREF _Toc102560590 \h </w:instrText>
      </w:r>
      <w:r w:rsidRPr="00955834">
        <w:rPr>
          <w:noProof/>
          <w:sz w:val="22"/>
        </w:rPr>
      </w:r>
      <w:r w:rsidRPr="00955834">
        <w:rPr>
          <w:noProof/>
          <w:sz w:val="22"/>
        </w:rPr>
        <w:fldChar w:fldCharType="separate"/>
      </w:r>
      <w:r w:rsidR="00BC73C8">
        <w:rPr>
          <w:noProof/>
          <w:sz w:val="22"/>
        </w:rPr>
        <w:t>22</w:t>
      </w:r>
      <w:r w:rsidRPr="00955834">
        <w:rPr>
          <w:noProof/>
          <w:sz w:val="22"/>
        </w:rPr>
        <w:fldChar w:fldCharType="end"/>
      </w:r>
    </w:p>
    <w:p w14:paraId="308F5EE9" w14:textId="77777777" w:rsidR="00191D34" w:rsidRPr="00955834" w:rsidRDefault="00365B1B">
      <w:pPr>
        <w:pStyle w:val="TableofFigures"/>
        <w:tabs>
          <w:tab w:val="right" w:leader="dot" w:pos="9350"/>
        </w:tabs>
        <w:rPr>
          <w:rFonts w:asciiTheme="minorHAnsi" w:hAnsiTheme="minorHAnsi"/>
          <w:noProof/>
          <w:sz w:val="24"/>
          <w:lang w:eastAsia="en-029"/>
        </w:rPr>
      </w:pPr>
      <w:r w:rsidRPr="00955834">
        <w:rPr>
          <w:rFonts w:cs="Times New Roman"/>
          <w:noProof/>
          <w:sz w:val="22"/>
        </w:rPr>
        <w:t>Table 5: Debt Portfolio Key Indicators 2017-2021</w:t>
      </w:r>
      <w:r w:rsidRPr="00955834">
        <w:rPr>
          <w:noProof/>
          <w:sz w:val="22"/>
        </w:rPr>
        <w:tab/>
      </w:r>
      <w:r w:rsidRPr="00955834">
        <w:rPr>
          <w:noProof/>
          <w:sz w:val="22"/>
        </w:rPr>
        <w:fldChar w:fldCharType="begin"/>
      </w:r>
      <w:r w:rsidRPr="00955834">
        <w:rPr>
          <w:noProof/>
          <w:sz w:val="22"/>
        </w:rPr>
        <w:instrText xml:space="preserve"> PAGEREF _Toc102560591 \h </w:instrText>
      </w:r>
      <w:r w:rsidRPr="00955834">
        <w:rPr>
          <w:noProof/>
          <w:sz w:val="22"/>
        </w:rPr>
      </w:r>
      <w:r w:rsidRPr="00955834">
        <w:rPr>
          <w:noProof/>
          <w:sz w:val="22"/>
        </w:rPr>
        <w:fldChar w:fldCharType="separate"/>
      </w:r>
      <w:r w:rsidR="00BC73C8">
        <w:rPr>
          <w:noProof/>
          <w:sz w:val="22"/>
        </w:rPr>
        <w:t>23</w:t>
      </w:r>
      <w:r w:rsidRPr="00955834">
        <w:rPr>
          <w:noProof/>
          <w:sz w:val="22"/>
        </w:rPr>
        <w:fldChar w:fldCharType="end"/>
      </w:r>
    </w:p>
    <w:p w14:paraId="0738E1F2" w14:textId="77777777" w:rsidR="0010713C" w:rsidRPr="00955834" w:rsidRDefault="00365B1B" w:rsidP="0010713C">
      <w:pPr>
        <w:rPr>
          <w:sz w:val="22"/>
        </w:rPr>
      </w:pPr>
      <w:r w:rsidRPr="00955834">
        <w:rPr>
          <w:sz w:val="22"/>
        </w:rPr>
        <w:fldChar w:fldCharType="end"/>
      </w:r>
    </w:p>
    <w:p w14:paraId="2C40B777" w14:textId="77777777" w:rsidR="00101578" w:rsidRPr="00101578" w:rsidRDefault="00101578" w:rsidP="00101578"/>
    <w:p w14:paraId="49CB0CB3" w14:textId="6A5C6442" w:rsidR="00DC700E" w:rsidRPr="00BB3D52" w:rsidRDefault="00365B1B" w:rsidP="003C6D25">
      <w:pPr>
        <w:pStyle w:val="Heading1"/>
      </w:pPr>
      <w:bookmarkStart w:id="7" w:name="_Toc102558906"/>
      <w:r w:rsidRPr="00BB3D52">
        <w:t>Executive Summary</w:t>
      </w:r>
      <w:bookmarkEnd w:id="7"/>
      <w:r w:rsidR="00963932">
        <w:t xml:space="preserve"> </w:t>
      </w:r>
    </w:p>
    <w:p w14:paraId="0DB2F8E9" w14:textId="77777777" w:rsidR="00FF4168" w:rsidRPr="00BB3D52" w:rsidRDefault="00365B1B" w:rsidP="00E0795E">
      <w:pPr>
        <w:spacing w:line="360" w:lineRule="auto"/>
        <w:jc w:val="both"/>
        <w:rPr>
          <w:rFonts w:cs="Times New Roman"/>
          <w:sz w:val="24"/>
          <w:szCs w:val="24"/>
        </w:rPr>
      </w:pPr>
      <w:r w:rsidRPr="00BB3D52">
        <w:rPr>
          <w:rFonts w:cs="Times New Roman"/>
          <w:sz w:val="24"/>
          <w:szCs w:val="24"/>
        </w:rPr>
        <w:t>The main objective of Saint Lucia's public debt management is to meet Government financing requirements at a minimum cost with a prudent degree of risk. In keeping with this objective, the Ministry of Finance, Ec</w:t>
      </w:r>
      <w:r w:rsidR="00B65001" w:rsidRPr="00BB3D52">
        <w:rPr>
          <w:rFonts w:cs="Times New Roman"/>
          <w:sz w:val="24"/>
          <w:szCs w:val="24"/>
        </w:rPr>
        <w:t xml:space="preserve">onomic </w:t>
      </w:r>
      <w:r w:rsidR="00BB3D52" w:rsidRPr="00BB3D52">
        <w:rPr>
          <w:rFonts w:cs="Times New Roman"/>
          <w:sz w:val="24"/>
          <w:szCs w:val="24"/>
        </w:rPr>
        <w:t>Development,</w:t>
      </w:r>
      <w:r w:rsidR="00B65001" w:rsidRPr="00BB3D52">
        <w:rPr>
          <w:rFonts w:cs="Times New Roman"/>
          <w:sz w:val="24"/>
          <w:szCs w:val="24"/>
        </w:rPr>
        <w:t xml:space="preserve"> and Youth Economy</w:t>
      </w:r>
      <w:r w:rsidRPr="00BB3D52">
        <w:rPr>
          <w:rFonts w:cs="Times New Roman"/>
          <w:sz w:val="24"/>
          <w:szCs w:val="24"/>
        </w:rPr>
        <w:t xml:space="preserve"> </w:t>
      </w:r>
      <w:r w:rsidR="00E6397E" w:rsidRPr="00BB3D52">
        <w:rPr>
          <w:rFonts w:cs="Times New Roman"/>
          <w:sz w:val="24"/>
          <w:szCs w:val="24"/>
        </w:rPr>
        <w:t>are</w:t>
      </w:r>
      <w:r w:rsidRPr="00BB3D52">
        <w:rPr>
          <w:rFonts w:cs="Times New Roman"/>
          <w:sz w:val="24"/>
          <w:szCs w:val="24"/>
        </w:rPr>
        <w:t xml:space="preserve"> committed to pursuing a debt management strategy aimed at fulfilling this objective. The D</w:t>
      </w:r>
      <w:r w:rsidR="00330912">
        <w:rPr>
          <w:rFonts w:cs="Times New Roman"/>
          <w:sz w:val="24"/>
          <w:szCs w:val="24"/>
        </w:rPr>
        <w:t xml:space="preserve">ebt and Investment Unit (DIU) of </w:t>
      </w:r>
      <w:r w:rsidRPr="00BB3D52">
        <w:rPr>
          <w:rFonts w:cs="Times New Roman"/>
          <w:sz w:val="24"/>
          <w:szCs w:val="24"/>
        </w:rPr>
        <w:t>the</w:t>
      </w:r>
      <w:r w:rsidR="00330912">
        <w:rPr>
          <w:rFonts w:cs="Times New Roman"/>
          <w:sz w:val="24"/>
          <w:szCs w:val="24"/>
        </w:rPr>
        <w:t xml:space="preserve"> Department of Finance is </w:t>
      </w:r>
      <w:r w:rsidR="009F1629">
        <w:rPr>
          <w:rFonts w:cs="Times New Roman"/>
          <w:sz w:val="24"/>
          <w:szCs w:val="24"/>
        </w:rPr>
        <w:t>the</w:t>
      </w:r>
      <w:r w:rsidRPr="00BB3D52">
        <w:rPr>
          <w:rFonts w:cs="Times New Roman"/>
          <w:sz w:val="24"/>
          <w:szCs w:val="24"/>
        </w:rPr>
        <w:t xml:space="preserve"> primary agent responsible for managing its public debt portfolio. </w:t>
      </w:r>
    </w:p>
    <w:p w14:paraId="2603B9DE" w14:textId="3F16087D" w:rsidR="005D6E26" w:rsidRPr="00BB3D52" w:rsidRDefault="00365B1B" w:rsidP="00E0795E">
      <w:pPr>
        <w:spacing w:line="360" w:lineRule="auto"/>
        <w:jc w:val="both"/>
        <w:rPr>
          <w:rFonts w:cs="Times New Roman"/>
          <w:sz w:val="24"/>
          <w:szCs w:val="24"/>
        </w:rPr>
      </w:pPr>
      <w:r w:rsidRPr="00BB3D52">
        <w:rPr>
          <w:rFonts w:cs="Times New Roman"/>
          <w:sz w:val="24"/>
          <w:szCs w:val="24"/>
        </w:rPr>
        <w:t xml:space="preserve">This issue of the Annual Debt Portfolio Review (DPR) analyses the Government of Saint Lucia's debt stock, flows, and risk over the </w:t>
      </w:r>
      <w:r w:rsidR="00B65001" w:rsidRPr="00BB3D52">
        <w:rPr>
          <w:rFonts w:cs="Times New Roman"/>
          <w:sz w:val="24"/>
          <w:szCs w:val="24"/>
        </w:rPr>
        <w:t>year (January-December) of 2021</w:t>
      </w:r>
      <w:r w:rsidRPr="00BB3D52">
        <w:rPr>
          <w:rFonts w:cs="Times New Roman"/>
          <w:sz w:val="24"/>
          <w:szCs w:val="24"/>
        </w:rPr>
        <w:t>, de</w:t>
      </w:r>
      <w:r w:rsidR="00B65001" w:rsidRPr="00BB3D52">
        <w:rPr>
          <w:rFonts w:cs="Times New Roman"/>
          <w:sz w:val="24"/>
          <w:szCs w:val="24"/>
        </w:rPr>
        <w:t>bt management operations in 2021</w:t>
      </w:r>
      <w:r w:rsidRPr="00BB3D52">
        <w:rPr>
          <w:rFonts w:cs="Times New Roman"/>
          <w:sz w:val="24"/>
          <w:szCs w:val="24"/>
        </w:rPr>
        <w:t>, and trend analysis of portfolio changes comparing the previous fiv</w:t>
      </w:r>
      <w:r w:rsidR="00B65001" w:rsidRPr="00BB3D52">
        <w:rPr>
          <w:rFonts w:cs="Times New Roman"/>
          <w:sz w:val="24"/>
          <w:szCs w:val="24"/>
        </w:rPr>
        <w:t>e years 2017-2021</w:t>
      </w:r>
      <w:r w:rsidRPr="00BB3D52">
        <w:rPr>
          <w:rFonts w:cs="Times New Roman"/>
          <w:sz w:val="24"/>
          <w:szCs w:val="24"/>
        </w:rPr>
        <w:t xml:space="preserve">. The composition and the risks embedded in the debt portfolio form the core of this review. Details of debt holders by residency, creditor categories, instrument types, currency composition, maturity </w:t>
      </w:r>
      <w:r w:rsidR="002C7180" w:rsidRPr="00BB3D52">
        <w:rPr>
          <w:rFonts w:cs="Times New Roman"/>
          <w:sz w:val="24"/>
          <w:szCs w:val="24"/>
        </w:rPr>
        <w:t>profile,</w:t>
      </w:r>
      <w:r w:rsidRPr="00BB3D52">
        <w:rPr>
          <w:rFonts w:cs="Times New Roman"/>
          <w:sz w:val="24"/>
          <w:szCs w:val="24"/>
        </w:rPr>
        <w:t xml:space="preserve"> and types of risks are in this report. The risk indicators examined include exchange rate, interest rate, and refinancing risk (the average time to maturity and the average time to re-fixing). The report also shows the maturity profile of the central government debt over the next decade. The report examines the fiscal and debt sustainability indicators of the Government of Saint Lucia over the previous five years</w:t>
      </w:r>
      <w:r w:rsidR="002C7180" w:rsidRPr="00BB3D52">
        <w:rPr>
          <w:rFonts w:cs="Times New Roman"/>
          <w:sz w:val="24"/>
          <w:szCs w:val="24"/>
        </w:rPr>
        <w:t>.</w:t>
      </w:r>
      <w:r w:rsidR="009B6E98" w:rsidRPr="00BB3D52">
        <w:rPr>
          <w:rFonts w:cs="Times New Roman"/>
          <w:sz w:val="24"/>
          <w:szCs w:val="24"/>
        </w:rPr>
        <w:t xml:space="preserve"> The scope of the DPR</w:t>
      </w:r>
      <w:r w:rsidR="009D69FB" w:rsidRPr="00BB3D52">
        <w:rPr>
          <w:rFonts w:cs="Times New Roman"/>
          <w:sz w:val="24"/>
          <w:szCs w:val="24"/>
        </w:rPr>
        <w:t xml:space="preserve"> is central government debt, </w:t>
      </w:r>
      <w:r w:rsidR="009B6E98" w:rsidRPr="00BB3D52">
        <w:rPr>
          <w:rFonts w:cs="Times New Roman"/>
          <w:sz w:val="24"/>
          <w:szCs w:val="24"/>
        </w:rPr>
        <w:t>government-guaranteed debt</w:t>
      </w:r>
      <w:r w:rsidR="009D69FB" w:rsidRPr="00BB3D52">
        <w:rPr>
          <w:rFonts w:cs="Times New Roman"/>
          <w:sz w:val="24"/>
          <w:szCs w:val="24"/>
        </w:rPr>
        <w:t xml:space="preserve">, and </w:t>
      </w:r>
      <w:r w:rsidR="009B6E98" w:rsidRPr="00BB3D52">
        <w:rPr>
          <w:rFonts w:cs="Times New Roman"/>
          <w:sz w:val="24"/>
          <w:szCs w:val="24"/>
        </w:rPr>
        <w:t>non-guaranteed government debt.</w:t>
      </w:r>
    </w:p>
    <w:p w14:paraId="77FE4E77" w14:textId="77777777" w:rsidR="003A36EF" w:rsidRPr="005D6E26" w:rsidRDefault="00365B1B" w:rsidP="005D6E26">
      <w:pPr>
        <w:pStyle w:val="Heading1"/>
        <w:spacing w:line="360" w:lineRule="auto"/>
        <w:rPr>
          <w:rFonts w:cs="Times New Roman"/>
          <w:sz w:val="24"/>
          <w:szCs w:val="24"/>
        </w:rPr>
      </w:pPr>
      <w:bookmarkStart w:id="8" w:name="_Toc102558907"/>
      <w:r w:rsidRPr="00BB3D52">
        <w:rPr>
          <w:rFonts w:cs="Times New Roman"/>
          <w:sz w:val="24"/>
          <w:szCs w:val="24"/>
        </w:rPr>
        <w:t>Overview of Saint Lucia’s Economy</w:t>
      </w:r>
      <w:bookmarkEnd w:id="8"/>
      <w:r w:rsidR="00101152" w:rsidRPr="00BB3D52">
        <w:rPr>
          <w:rFonts w:cs="Times New Roman"/>
          <w:sz w:val="24"/>
          <w:szCs w:val="24"/>
        </w:rPr>
        <w:t xml:space="preserve"> </w:t>
      </w:r>
    </w:p>
    <w:p w14:paraId="72151CBE" w14:textId="193C918B" w:rsidR="003A36EF" w:rsidRPr="005D6E26" w:rsidRDefault="00365B1B" w:rsidP="00EC26FB">
      <w:pPr>
        <w:spacing w:line="360" w:lineRule="auto"/>
        <w:jc w:val="both"/>
        <w:rPr>
          <w:rFonts w:cs="Times New Roman"/>
          <w:sz w:val="24"/>
          <w:szCs w:val="24"/>
        </w:rPr>
      </w:pPr>
      <w:r>
        <w:rPr>
          <w:rFonts w:cs="Times New Roman"/>
          <w:sz w:val="24"/>
          <w:szCs w:val="24"/>
        </w:rPr>
        <w:t>In 2021</w:t>
      </w:r>
      <w:r w:rsidRPr="005D6E26">
        <w:rPr>
          <w:rFonts w:cs="Times New Roman"/>
          <w:sz w:val="24"/>
          <w:szCs w:val="24"/>
        </w:rPr>
        <w:t xml:space="preserve">, activity in the domestic economy </w:t>
      </w:r>
      <w:r>
        <w:rPr>
          <w:rFonts w:cs="Times New Roman"/>
          <w:sz w:val="24"/>
          <w:szCs w:val="24"/>
        </w:rPr>
        <w:t xml:space="preserve">rebounded from the </w:t>
      </w:r>
      <w:r w:rsidR="00627B78">
        <w:rPr>
          <w:rFonts w:cs="Times New Roman"/>
          <w:sz w:val="24"/>
          <w:szCs w:val="24"/>
        </w:rPr>
        <w:t xml:space="preserve">deleterious effects of the </w:t>
      </w:r>
      <w:r w:rsidR="003C68D5">
        <w:rPr>
          <w:rFonts w:cs="Times New Roman"/>
          <w:sz w:val="24"/>
          <w:szCs w:val="24"/>
        </w:rPr>
        <w:t>COVID</w:t>
      </w:r>
      <w:r>
        <w:rPr>
          <w:rFonts w:cs="Times New Roman"/>
          <w:sz w:val="24"/>
          <w:szCs w:val="24"/>
        </w:rPr>
        <w:t>-19 pandemic driven</w:t>
      </w:r>
      <w:r w:rsidRPr="005D6E26">
        <w:rPr>
          <w:rFonts w:cs="Times New Roman"/>
          <w:sz w:val="24"/>
          <w:szCs w:val="24"/>
        </w:rPr>
        <w:t xml:space="preserve"> by the </w:t>
      </w:r>
      <w:r>
        <w:rPr>
          <w:rFonts w:cs="Times New Roman"/>
          <w:sz w:val="24"/>
          <w:szCs w:val="24"/>
        </w:rPr>
        <w:t xml:space="preserve">improved </w:t>
      </w:r>
      <w:r w:rsidRPr="005D6E26">
        <w:rPr>
          <w:rFonts w:cs="Times New Roman"/>
          <w:sz w:val="24"/>
          <w:szCs w:val="24"/>
        </w:rPr>
        <w:t xml:space="preserve">performance of the tourism sector, the key source of foreign exchange and employment. </w:t>
      </w:r>
      <w:r w:rsidRPr="001F27AF">
        <w:rPr>
          <w:rFonts w:cs="Times New Roman"/>
          <w:sz w:val="24"/>
          <w:szCs w:val="24"/>
        </w:rPr>
        <w:t>Preliminary estimates of value-added suggest that</w:t>
      </w:r>
      <w:r>
        <w:rPr>
          <w:rFonts w:cs="Times New Roman"/>
          <w:sz w:val="24"/>
          <w:szCs w:val="24"/>
        </w:rPr>
        <w:t xml:space="preserve"> </w:t>
      </w:r>
      <w:r w:rsidRPr="001F27AF">
        <w:rPr>
          <w:rFonts w:cs="Times New Roman"/>
          <w:sz w:val="24"/>
          <w:szCs w:val="24"/>
        </w:rPr>
        <w:t>real GDP im</w:t>
      </w:r>
      <w:r w:rsidR="003C68D5">
        <w:rPr>
          <w:rFonts w:cs="Times New Roman"/>
          <w:sz w:val="24"/>
          <w:szCs w:val="24"/>
        </w:rPr>
        <w:t>proved by 12.2%</w:t>
      </w:r>
      <w:r>
        <w:rPr>
          <w:rFonts w:cs="Times New Roman"/>
          <w:sz w:val="24"/>
          <w:szCs w:val="24"/>
        </w:rPr>
        <w:t xml:space="preserve"> in 2021, </w:t>
      </w:r>
      <w:r w:rsidRPr="001F27AF">
        <w:rPr>
          <w:rFonts w:cs="Times New Roman"/>
          <w:sz w:val="24"/>
          <w:szCs w:val="24"/>
        </w:rPr>
        <w:t>rebounding fro</w:t>
      </w:r>
      <w:r>
        <w:rPr>
          <w:rFonts w:cs="Times New Roman"/>
          <w:sz w:val="24"/>
          <w:szCs w:val="24"/>
        </w:rPr>
        <w:t xml:space="preserve">m the sharp contraction of 24.4 </w:t>
      </w:r>
      <w:r w:rsidR="00EB7070">
        <w:rPr>
          <w:rFonts w:cs="Times New Roman"/>
          <w:sz w:val="24"/>
          <w:szCs w:val="24"/>
        </w:rPr>
        <w:t>%</w:t>
      </w:r>
      <w:r>
        <w:rPr>
          <w:rFonts w:cs="Times New Roman"/>
          <w:sz w:val="24"/>
          <w:szCs w:val="24"/>
        </w:rPr>
        <w:t xml:space="preserve"> in 2020</w:t>
      </w:r>
      <w:r w:rsidRPr="005D6E26">
        <w:rPr>
          <w:rFonts w:cs="Times New Roman"/>
          <w:sz w:val="24"/>
          <w:szCs w:val="24"/>
        </w:rPr>
        <w:t xml:space="preserve">. </w:t>
      </w:r>
      <w:r w:rsidRPr="001F27AF">
        <w:rPr>
          <w:rFonts w:cs="Times New Roman"/>
          <w:sz w:val="24"/>
          <w:szCs w:val="24"/>
        </w:rPr>
        <w:t>Ho</w:t>
      </w:r>
      <w:r>
        <w:rPr>
          <w:rFonts w:cs="Times New Roman"/>
          <w:sz w:val="24"/>
          <w:szCs w:val="24"/>
        </w:rPr>
        <w:t xml:space="preserve">wever, the level of real GDP in </w:t>
      </w:r>
      <w:r w:rsidR="00EB7070">
        <w:rPr>
          <w:rFonts w:cs="Times New Roman"/>
          <w:sz w:val="24"/>
          <w:szCs w:val="24"/>
        </w:rPr>
        <w:t>2021 was 15.1%</w:t>
      </w:r>
      <w:r w:rsidRPr="001F27AF">
        <w:rPr>
          <w:rFonts w:cs="Times New Roman"/>
          <w:sz w:val="24"/>
          <w:szCs w:val="24"/>
        </w:rPr>
        <w:t xml:space="preserve"> below the pre-pandemic level of 2019, despite the do</w:t>
      </w:r>
      <w:r>
        <w:rPr>
          <w:rFonts w:cs="Times New Roman"/>
          <w:sz w:val="24"/>
          <w:szCs w:val="24"/>
        </w:rPr>
        <w:t xml:space="preserve">uble-digit growth rate in 2021. </w:t>
      </w:r>
      <w:r w:rsidRPr="001F27AF">
        <w:rPr>
          <w:rFonts w:cs="Times New Roman"/>
          <w:sz w:val="24"/>
          <w:szCs w:val="24"/>
        </w:rPr>
        <w:t>The negative effects of hurricane Elsa dampened the pace of the rebound</w:t>
      </w:r>
      <w:r>
        <w:rPr>
          <w:rFonts w:cs="Times New Roman"/>
          <w:sz w:val="24"/>
          <w:szCs w:val="24"/>
        </w:rPr>
        <w:t xml:space="preserve"> in July 2021, which </w:t>
      </w:r>
      <w:r w:rsidRPr="001F27AF">
        <w:rPr>
          <w:rFonts w:cs="Times New Roman"/>
          <w:sz w:val="24"/>
          <w:szCs w:val="24"/>
        </w:rPr>
        <w:t xml:space="preserve">were mostly limited to the agriculture sector, as well as </w:t>
      </w:r>
      <w:r w:rsidRPr="00D261AF">
        <w:rPr>
          <w:rFonts w:cs="Times New Roman"/>
          <w:sz w:val="24"/>
          <w:szCs w:val="24"/>
        </w:rPr>
        <w:t xml:space="preserve">the </w:t>
      </w:r>
      <w:r w:rsidR="003273C4" w:rsidRPr="00D261AF">
        <w:rPr>
          <w:rFonts w:cs="Times New Roman"/>
          <w:sz w:val="24"/>
          <w:szCs w:val="24"/>
        </w:rPr>
        <w:t>general increase in price levels</w:t>
      </w:r>
      <w:r w:rsidRPr="001F27AF">
        <w:rPr>
          <w:rFonts w:cs="Times New Roman"/>
          <w:sz w:val="24"/>
          <w:szCs w:val="24"/>
        </w:rPr>
        <w:t>. The partial resurgence of economic activity was buoyed by strong tourism a</w:t>
      </w:r>
      <w:r>
        <w:rPr>
          <w:rFonts w:cs="Times New Roman"/>
          <w:sz w:val="24"/>
          <w:szCs w:val="24"/>
        </w:rPr>
        <w:t xml:space="preserve">nd construction activity in the </w:t>
      </w:r>
      <w:r w:rsidRPr="001F27AF">
        <w:rPr>
          <w:rFonts w:cs="Times New Roman"/>
          <w:sz w:val="24"/>
          <w:szCs w:val="24"/>
        </w:rPr>
        <w:t xml:space="preserve">review period, with positive </w:t>
      </w:r>
      <w:r w:rsidR="00D261AF" w:rsidRPr="001F27AF">
        <w:rPr>
          <w:rFonts w:cs="Times New Roman"/>
          <w:sz w:val="24"/>
          <w:szCs w:val="24"/>
        </w:rPr>
        <w:t>spill over</w:t>
      </w:r>
      <w:r w:rsidRPr="001F27AF">
        <w:rPr>
          <w:rFonts w:cs="Times New Roman"/>
          <w:sz w:val="24"/>
          <w:szCs w:val="24"/>
        </w:rPr>
        <w:t xml:space="preserve"> effects on other sectors that were hard hit</w:t>
      </w:r>
      <w:r>
        <w:rPr>
          <w:rFonts w:cs="Times New Roman"/>
          <w:sz w:val="24"/>
          <w:szCs w:val="24"/>
        </w:rPr>
        <w:t xml:space="preserve"> by the pandemic such as retail </w:t>
      </w:r>
      <w:r w:rsidRPr="001F27AF">
        <w:rPr>
          <w:rFonts w:cs="Times New Roman"/>
          <w:sz w:val="24"/>
          <w:szCs w:val="24"/>
        </w:rPr>
        <w:t>&amp; wholesale trade, manufacturing, and transport</w:t>
      </w:r>
      <w:r w:rsidRPr="005D6E26">
        <w:rPr>
          <w:rFonts w:cs="Times New Roman"/>
          <w:sz w:val="24"/>
          <w:szCs w:val="24"/>
        </w:rPr>
        <w:t>.</w:t>
      </w:r>
    </w:p>
    <w:p w14:paraId="2EFCAC6C" w14:textId="77777777" w:rsidR="00E33EDF" w:rsidRPr="00BB3D52" w:rsidRDefault="00365B1B" w:rsidP="00E0795E">
      <w:pPr>
        <w:pStyle w:val="Heading1"/>
        <w:spacing w:line="360" w:lineRule="auto"/>
        <w:rPr>
          <w:rFonts w:cs="Times New Roman"/>
          <w:sz w:val="24"/>
          <w:szCs w:val="24"/>
        </w:rPr>
      </w:pPr>
      <w:bookmarkStart w:id="9" w:name="_Toc102558908"/>
      <w:r w:rsidRPr="00BB3D52">
        <w:rPr>
          <w:rFonts w:cs="Times New Roman"/>
          <w:sz w:val="24"/>
          <w:szCs w:val="24"/>
        </w:rPr>
        <w:t xml:space="preserve">Fiscal Operations of </w:t>
      </w:r>
      <w:r w:rsidR="002C528A" w:rsidRPr="00BB3D52">
        <w:rPr>
          <w:rFonts w:cs="Times New Roman"/>
          <w:sz w:val="24"/>
          <w:szCs w:val="24"/>
        </w:rPr>
        <w:t xml:space="preserve">the </w:t>
      </w:r>
      <w:r w:rsidRPr="00BB3D52">
        <w:rPr>
          <w:rFonts w:cs="Times New Roman"/>
          <w:sz w:val="24"/>
          <w:szCs w:val="24"/>
        </w:rPr>
        <w:t>Central Government</w:t>
      </w:r>
      <w:bookmarkEnd w:id="9"/>
    </w:p>
    <w:p w14:paraId="2E6F6767" w14:textId="219A354D" w:rsidR="001F0771" w:rsidRPr="00D05598" w:rsidRDefault="003C68D5" w:rsidP="00D05598">
      <w:pPr>
        <w:autoSpaceDE w:val="0"/>
        <w:autoSpaceDN w:val="0"/>
        <w:adjustRightInd w:val="0"/>
        <w:spacing w:after="0" w:line="360" w:lineRule="auto"/>
        <w:jc w:val="both"/>
        <w:rPr>
          <w:rFonts w:cs="Times New Roman"/>
          <w:sz w:val="24"/>
          <w:szCs w:val="24"/>
        </w:rPr>
      </w:pPr>
      <w:r>
        <w:rPr>
          <w:rFonts w:cs="Times New Roman"/>
          <w:sz w:val="24"/>
          <w:szCs w:val="24"/>
        </w:rPr>
        <w:t xml:space="preserve">The </w:t>
      </w:r>
      <w:r w:rsidR="00D05598" w:rsidRPr="00D05598">
        <w:rPr>
          <w:rFonts w:cs="Times New Roman"/>
          <w:sz w:val="24"/>
          <w:szCs w:val="24"/>
        </w:rPr>
        <w:t>government</w:t>
      </w:r>
      <w:r>
        <w:t xml:space="preserve">’s </w:t>
      </w:r>
      <w:r w:rsidRPr="003C68D5">
        <w:rPr>
          <w:rFonts w:cs="Times New Roman"/>
          <w:sz w:val="24"/>
          <w:szCs w:val="24"/>
        </w:rPr>
        <w:t>fiscal position</w:t>
      </w:r>
      <w:r w:rsidR="00D05598" w:rsidRPr="00D05598">
        <w:rPr>
          <w:rFonts w:cs="Times New Roman"/>
          <w:sz w:val="24"/>
          <w:szCs w:val="24"/>
        </w:rPr>
        <w:t xml:space="preserve"> improved in the fiscal year 2021/22 in tandem with the partial recovery in economic activity. </w:t>
      </w:r>
      <w:r>
        <w:rPr>
          <w:rFonts w:cs="Times New Roman"/>
          <w:sz w:val="24"/>
          <w:szCs w:val="24"/>
        </w:rPr>
        <w:t>The</w:t>
      </w:r>
      <w:r w:rsidR="00D05598" w:rsidRPr="00D05598">
        <w:rPr>
          <w:rFonts w:cs="Times New Roman"/>
          <w:sz w:val="24"/>
          <w:szCs w:val="24"/>
        </w:rPr>
        <w:t xml:space="preserve"> COVID-19 </w:t>
      </w:r>
      <w:r w:rsidRPr="00D05598">
        <w:rPr>
          <w:rFonts w:cs="Times New Roman"/>
          <w:sz w:val="24"/>
          <w:szCs w:val="24"/>
        </w:rPr>
        <w:t>pandemic</w:t>
      </w:r>
      <w:r w:rsidR="00D05598" w:rsidRPr="00D05598">
        <w:rPr>
          <w:rFonts w:cs="Times New Roman"/>
          <w:sz w:val="24"/>
          <w:szCs w:val="24"/>
        </w:rPr>
        <w:t xml:space="preserve"> </w:t>
      </w:r>
      <w:r>
        <w:rPr>
          <w:rFonts w:cs="Times New Roman"/>
          <w:sz w:val="24"/>
          <w:szCs w:val="24"/>
        </w:rPr>
        <w:t>induced a continued</w:t>
      </w:r>
      <w:r w:rsidR="00D05598" w:rsidRPr="00D05598">
        <w:rPr>
          <w:rFonts w:cs="Times New Roman"/>
          <w:sz w:val="24"/>
          <w:szCs w:val="24"/>
        </w:rPr>
        <w:t xml:space="preserve"> need for pandemic-related spending to support health sector efforts to fight the spread and advers</w:t>
      </w:r>
      <w:r>
        <w:rPr>
          <w:rFonts w:cs="Times New Roman"/>
          <w:sz w:val="24"/>
          <w:szCs w:val="24"/>
        </w:rPr>
        <w:t>e effects of the virus</w:t>
      </w:r>
      <w:r w:rsidR="00D05598" w:rsidRPr="00D05598">
        <w:rPr>
          <w:rFonts w:cs="Times New Roman"/>
          <w:sz w:val="24"/>
          <w:szCs w:val="24"/>
        </w:rPr>
        <w:t xml:space="preserve"> variants. </w:t>
      </w:r>
      <w:r w:rsidR="0062576A">
        <w:rPr>
          <w:rFonts w:cs="Times New Roman"/>
          <w:sz w:val="24"/>
          <w:szCs w:val="24"/>
        </w:rPr>
        <w:t>The a</w:t>
      </w:r>
      <w:r w:rsidR="00D05598" w:rsidRPr="00D05598">
        <w:rPr>
          <w:rFonts w:cs="Times New Roman"/>
          <w:sz w:val="24"/>
          <w:szCs w:val="24"/>
        </w:rPr>
        <w:t>ffec</w:t>
      </w:r>
      <w:r w:rsidR="0062576A">
        <w:rPr>
          <w:rFonts w:cs="Times New Roman"/>
          <w:sz w:val="24"/>
          <w:szCs w:val="24"/>
        </w:rPr>
        <w:t>ted citizenry</w:t>
      </w:r>
      <w:r w:rsidR="00D05598" w:rsidRPr="00D05598">
        <w:rPr>
          <w:rFonts w:cs="Times New Roman"/>
          <w:sz w:val="24"/>
          <w:szCs w:val="24"/>
        </w:rPr>
        <w:t xml:space="preserve"> and businesses</w:t>
      </w:r>
      <w:r w:rsidR="0062576A" w:rsidRPr="0062576A">
        <w:t xml:space="preserve"> </w:t>
      </w:r>
      <w:r w:rsidR="0062576A">
        <w:t>required a</w:t>
      </w:r>
      <w:r w:rsidR="0062576A" w:rsidRPr="0062576A">
        <w:rPr>
          <w:rFonts w:cs="Times New Roman"/>
          <w:sz w:val="24"/>
          <w:szCs w:val="24"/>
        </w:rPr>
        <w:t>dditional</w:t>
      </w:r>
      <w:r w:rsidR="0062576A" w:rsidRPr="0062576A">
        <w:t xml:space="preserve"> </w:t>
      </w:r>
      <w:r w:rsidR="0062576A" w:rsidRPr="0062576A">
        <w:rPr>
          <w:rFonts w:cs="Times New Roman"/>
          <w:sz w:val="24"/>
          <w:szCs w:val="24"/>
        </w:rPr>
        <w:t>financial assistance</w:t>
      </w:r>
      <w:r w:rsidR="00D05598" w:rsidRPr="00D05598">
        <w:rPr>
          <w:rFonts w:cs="Times New Roman"/>
          <w:sz w:val="24"/>
          <w:szCs w:val="24"/>
        </w:rPr>
        <w:t>. Amidst increased spending, preliminary estimates suggest that the higher revenue intake resulted in a reduction in the overall fiscal deficit from $</w:t>
      </w:r>
      <w:r w:rsidR="003273C4">
        <w:rPr>
          <w:rFonts w:cs="Times New Roman"/>
          <w:sz w:val="24"/>
          <w:szCs w:val="24"/>
        </w:rPr>
        <w:t>500.4</w:t>
      </w:r>
      <w:r w:rsidR="00D05598" w:rsidRPr="00D05598">
        <w:rPr>
          <w:rFonts w:cs="Times New Roman"/>
          <w:sz w:val="24"/>
          <w:szCs w:val="24"/>
        </w:rPr>
        <w:t xml:space="preserve"> million or 11</w:t>
      </w:r>
      <w:r w:rsidR="003B566F">
        <w:rPr>
          <w:rFonts w:cs="Times New Roman"/>
          <w:sz w:val="24"/>
          <w:szCs w:val="24"/>
        </w:rPr>
        <w:t>.</w:t>
      </w:r>
      <w:r w:rsidR="003273C4">
        <w:rPr>
          <w:rFonts w:cs="Times New Roman"/>
          <w:sz w:val="24"/>
          <w:szCs w:val="24"/>
        </w:rPr>
        <w:t>9</w:t>
      </w:r>
      <w:r w:rsidR="003B566F">
        <w:rPr>
          <w:rFonts w:cs="Times New Roman"/>
          <w:sz w:val="24"/>
          <w:szCs w:val="24"/>
        </w:rPr>
        <w:t xml:space="preserve">% </w:t>
      </w:r>
      <w:r w:rsidR="00D05598" w:rsidRPr="00D05598">
        <w:rPr>
          <w:rFonts w:cs="Times New Roman"/>
          <w:sz w:val="24"/>
          <w:szCs w:val="24"/>
        </w:rPr>
        <w:t>of GDP in 2020/21 to $3</w:t>
      </w:r>
      <w:r w:rsidR="003273C4">
        <w:rPr>
          <w:rFonts w:cs="Times New Roman"/>
          <w:sz w:val="24"/>
          <w:szCs w:val="24"/>
        </w:rPr>
        <w:t>06.4</w:t>
      </w:r>
      <w:r w:rsidR="00D05598" w:rsidRPr="00D05598">
        <w:rPr>
          <w:rFonts w:cs="Times New Roman"/>
          <w:sz w:val="24"/>
          <w:szCs w:val="24"/>
        </w:rPr>
        <w:t xml:space="preserve"> million or</w:t>
      </w:r>
      <w:r w:rsidR="003B566F">
        <w:rPr>
          <w:rFonts w:cs="Times New Roman"/>
          <w:sz w:val="24"/>
          <w:szCs w:val="24"/>
        </w:rPr>
        <w:t xml:space="preserve"> </w:t>
      </w:r>
      <w:r w:rsidR="003273C4">
        <w:rPr>
          <w:rFonts w:cs="Times New Roman"/>
          <w:sz w:val="24"/>
          <w:szCs w:val="24"/>
        </w:rPr>
        <w:t>6.5</w:t>
      </w:r>
      <w:r w:rsidR="003B566F">
        <w:rPr>
          <w:rFonts w:cs="Times New Roman"/>
          <w:sz w:val="24"/>
          <w:szCs w:val="24"/>
        </w:rPr>
        <w:t>%</w:t>
      </w:r>
      <w:r w:rsidR="00D05598" w:rsidRPr="00D05598">
        <w:rPr>
          <w:rFonts w:cs="Times New Roman"/>
          <w:sz w:val="24"/>
          <w:szCs w:val="24"/>
        </w:rPr>
        <w:t xml:space="preserve"> of GDP in 2021/22. Similarly, there was a smaller primary deficit estimated at $1</w:t>
      </w:r>
      <w:r w:rsidR="003273C4">
        <w:rPr>
          <w:rFonts w:cs="Times New Roman"/>
          <w:sz w:val="24"/>
          <w:szCs w:val="24"/>
        </w:rPr>
        <w:t>35.4</w:t>
      </w:r>
      <w:r w:rsidR="00D05598" w:rsidRPr="00D05598">
        <w:rPr>
          <w:rFonts w:cs="Times New Roman"/>
          <w:sz w:val="24"/>
          <w:szCs w:val="24"/>
        </w:rPr>
        <w:t xml:space="preserve"> million in 2021/22, representing</w:t>
      </w:r>
      <w:r w:rsidR="003B566F">
        <w:rPr>
          <w:rFonts w:cs="Times New Roman"/>
          <w:sz w:val="24"/>
          <w:szCs w:val="24"/>
        </w:rPr>
        <w:t xml:space="preserve"> </w:t>
      </w:r>
      <w:r w:rsidR="003273C4">
        <w:rPr>
          <w:rFonts w:cs="Times New Roman"/>
          <w:sz w:val="24"/>
          <w:szCs w:val="24"/>
        </w:rPr>
        <w:t>2.9</w:t>
      </w:r>
      <w:r w:rsidR="003B566F">
        <w:rPr>
          <w:rFonts w:cs="Times New Roman"/>
          <w:sz w:val="24"/>
          <w:szCs w:val="24"/>
        </w:rPr>
        <w:t>%</w:t>
      </w:r>
      <w:r w:rsidR="00D05598" w:rsidRPr="00D05598">
        <w:rPr>
          <w:rFonts w:cs="Times New Roman"/>
          <w:sz w:val="24"/>
          <w:szCs w:val="24"/>
        </w:rPr>
        <w:t xml:space="preserve"> of GDP compared to </w:t>
      </w:r>
      <w:r w:rsidR="003B566F">
        <w:rPr>
          <w:rFonts w:cs="Times New Roman"/>
          <w:sz w:val="24"/>
          <w:szCs w:val="24"/>
        </w:rPr>
        <w:t>$3</w:t>
      </w:r>
      <w:r w:rsidR="003273C4">
        <w:rPr>
          <w:rFonts w:cs="Times New Roman"/>
          <w:sz w:val="24"/>
          <w:szCs w:val="24"/>
        </w:rPr>
        <w:t>36.0</w:t>
      </w:r>
      <w:r w:rsidR="003B566F">
        <w:rPr>
          <w:rFonts w:cs="Times New Roman"/>
          <w:sz w:val="24"/>
          <w:szCs w:val="24"/>
        </w:rPr>
        <w:t xml:space="preserve"> million or </w:t>
      </w:r>
      <w:r w:rsidR="003273C4">
        <w:rPr>
          <w:rFonts w:cs="Times New Roman"/>
          <w:sz w:val="24"/>
          <w:szCs w:val="24"/>
        </w:rPr>
        <w:t>8.0</w:t>
      </w:r>
      <w:r w:rsidR="003B566F">
        <w:rPr>
          <w:rFonts w:cs="Times New Roman"/>
          <w:sz w:val="24"/>
          <w:szCs w:val="24"/>
        </w:rPr>
        <w:t>%</w:t>
      </w:r>
      <w:r w:rsidR="00D05598" w:rsidRPr="00D05598">
        <w:rPr>
          <w:rFonts w:cs="Times New Roman"/>
          <w:sz w:val="24"/>
          <w:szCs w:val="24"/>
        </w:rPr>
        <w:t xml:space="preserve"> of GDP in 2020/21. Current expenditure continued to exceed current revenue, with a significant current account deficit of $13</w:t>
      </w:r>
      <w:r w:rsidR="003273C4">
        <w:rPr>
          <w:rFonts w:cs="Times New Roman"/>
          <w:sz w:val="24"/>
          <w:szCs w:val="24"/>
        </w:rPr>
        <w:t>0.0</w:t>
      </w:r>
      <w:r w:rsidR="00D05598" w:rsidRPr="00D05598">
        <w:rPr>
          <w:rFonts w:cs="Times New Roman"/>
          <w:sz w:val="24"/>
          <w:szCs w:val="24"/>
        </w:rPr>
        <w:t xml:space="preserve"> million in 2021/2213, reduced from $279.9 million in</w:t>
      </w:r>
      <w:r w:rsidR="00597A6A">
        <w:rPr>
          <w:rFonts w:cs="Times New Roman"/>
          <w:sz w:val="24"/>
          <w:szCs w:val="24"/>
        </w:rPr>
        <w:t xml:space="preserve"> </w:t>
      </w:r>
      <w:r w:rsidR="00D05598" w:rsidRPr="00D05598">
        <w:rPr>
          <w:rFonts w:cs="Times New Roman"/>
          <w:sz w:val="24"/>
          <w:szCs w:val="24"/>
        </w:rPr>
        <w:t>2021/22.</w:t>
      </w:r>
      <w:r w:rsidR="00333BAD" w:rsidRPr="009A4E4E">
        <w:rPr>
          <w:rFonts w:cs="Times New Roman"/>
          <w:sz w:val="24"/>
          <w:szCs w:val="24"/>
        </w:rPr>
        <w:t xml:space="preserve"> </w:t>
      </w:r>
    </w:p>
    <w:p w14:paraId="02DEAECB" w14:textId="77777777" w:rsidR="00D47F2F" w:rsidRPr="00BB3D52" w:rsidRDefault="00365B1B" w:rsidP="00E0795E">
      <w:pPr>
        <w:pStyle w:val="Heading1"/>
        <w:spacing w:line="360" w:lineRule="auto"/>
        <w:rPr>
          <w:rFonts w:cs="Times New Roman"/>
          <w:sz w:val="24"/>
          <w:szCs w:val="24"/>
        </w:rPr>
      </w:pPr>
      <w:bookmarkStart w:id="10" w:name="_Toc102558909"/>
      <w:r w:rsidRPr="00BB3D52">
        <w:rPr>
          <w:rFonts w:cs="Times New Roman"/>
          <w:sz w:val="24"/>
          <w:szCs w:val="24"/>
        </w:rPr>
        <w:t xml:space="preserve">1. </w:t>
      </w:r>
      <w:r w:rsidR="002E64F7" w:rsidRPr="00BB3D52">
        <w:rPr>
          <w:rFonts w:cs="Times New Roman"/>
          <w:sz w:val="24"/>
          <w:szCs w:val="24"/>
        </w:rPr>
        <w:t xml:space="preserve">Total Public </w:t>
      </w:r>
      <w:r w:rsidR="003179F5" w:rsidRPr="00BB3D52">
        <w:rPr>
          <w:rFonts w:cs="Times New Roman"/>
          <w:sz w:val="24"/>
          <w:szCs w:val="24"/>
        </w:rPr>
        <w:t xml:space="preserve">Sector </w:t>
      </w:r>
      <w:r w:rsidR="002E64F7" w:rsidRPr="00BB3D52">
        <w:rPr>
          <w:rFonts w:cs="Times New Roman"/>
          <w:sz w:val="24"/>
          <w:szCs w:val="24"/>
        </w:rPr>
        <w:t>Debt</w:t>
      </w:r>
      <w:bookmarkEnd w:id="0"/>
      <w:bookmarkEnd w:id="1"/>
      <w:bookmarkEnd w:id="2"/>
      <w:bookmarkEnd w:id="10"/>
    </w:p>
    <w:p w14:paraId="33E44317" w14:textId="77777777" w:rsidR="00EB3B25" w:rsidRPr="00BB3D52" w:rsidRDefault="00955834" w:rsidP="00E0795E">
      <w:pPr>
        <w:pStyle w:val="Heading2"/>
        <w:spacing w:line="360" w:lineRule="auto"/>
        <w:rPr>
          <w:rFonts w:cs="Times New Roman"/>
          <w:sz w:val="24"/>
          <w:szCs w:val="24"/>
        </w:rPr>
      </w:pPr>
      <w:bookmarkStart w:id="11" w:name="_Toc522289564"/>
      <w:bookmarkStart w:id="12" w:name="_Toc947393"/>
      <w:bookmarkStart w:id="13" w:name="_Toc25228987"/>
      <w:bookmarkStart w:id="14" w:name="_Toc102558910"/>
      <w:r>
        <w:rPr>
          <w:noProof/>
          <w:lang w:val="en-US"/>
        </w:rPr>
        <w:drawing>
          <wp:anchor distT="0" distB="0" distL="114300" distR="114300" simplePos="0" relativeHeight="251684864" behindDoc="0" locked="0" layoutInCell="1" allowOverlap="1" wp14:anchorId="30B19FC6" wp14:editId="294B4267">
            <wp:simplePos x="0" y="0"/>
            <wp:positionH relativeFrom="margin">
              <wp:posOffset>3383280</wp:posOffset>
            </wp:positionH>
            <wp:positionV relativeFrom="paragraph">
              <wp:posOffset>177800</wp:posOffset>
            </wp:positionV>
            <wp:extent cx="2724150" cy="2298065"/>
            <wp:effectExtent l="0" t="0" r="0" b="6985"/>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365B1B" w:rsidRPr="00BB3D52">
        <w:rPr>
          <w:rFonts w:cs="Times New Roman"/>
          <w:sz w:val="24"/>
          <w:szCs w:val="24"/>
        </w:rPr>
        <w:t xml:space="preserve">1.1 </w:t>
      </w:r>
      <w:r w:rsidR="00241D90" w:rsidRPr="00BB3D52">
        <w:rPr>
          <w:rFonts w:cs="Times New Roman"/>
          <w:sz w:val="24"/>
          <w:szCs w:val="24"/>
        </w:rPr>
        <w:t xml:space="preserve">Total Public </w:t>
      </w:r>
      <w:r w:rsidR="003179F5" w:rsidRPr="00BB3D52">
        <w:rPr>
          <w:rFonts w:cs="Times New Roman"/>
          <w:sz w:val="24"/>
          <w:szCs w:val="24"/>
        </w:rPr>
        <w:t xml:space="preserve">Sector </w:t>
      </w:r>
      <w:r w:rsidR="00241D90" w:rsidRPr="00BB3D52">
        <w:rPr>
          <w:rFonts w:cs="Times New Roman"/>
          <w:sz w:val="24"/>
          <w:szCs w:val="24"/>
        </w:rPr>
        <w:t>Debt</w:t>
      </w:r>
      <w:bookmarkEnd w:id="11"/>
      <w:bookmarkEnd w:id="12"/>
      <w:bookmarkEnd w:id="13"/>
      <w:r w:rsidR="00FF3644" w:rsidRPr="00BB3D52">
        <w:rPr>
          <w:rFonts w:cs="Times New Roman"/>
          <w:sz w:val="24"/>
          <w:szCs w:val="24"/>
        </w:rPr>
        <w:t xml:space="preserve"> </w:t>
      </w:r>
      <w:r w:rsidR="005B32E9" w:rsidRPr="00BB3D52">
        <w:rPr>
          <w:rFonts w:cs="Times New Roman"/>
          <w:sz w:val="24"/>
          <w:szCs w:val="24"/>
        </w:rPr>
        <w:t>by Residency</w:t>
      </w:r>
      <w:bookmarkEnd w:id="14"/>
      <w:r w:rsidR="00CB416E" w:rsidRPr="00BB3D52">
        <w:rPr>
          <w:rFonts w:cs="Times New Roman"/>
          <w:sz w:val="24"/>
          <w:szCs w:val="24"/>
        </w:rPr>
        <w:t xml:space="preserve"> </w:t>
      </w:r>
    </w:p>
    <w:p w14:paraId="56EE9CAD" w14:textId="77777777" w:rsidR="00E95801" w:rsidRPr="00BB3D52" w:rsidRDefault="00955834" w:rsidP="00330912">
      <w:pPr>
        <w:pStyle w:val="Style1"/>
        <w:rPr>
          <w:rFonts w:cs="Times New Roman"/>
          <w:sz w:val="24"/>
          <w:szCs w:val="24"/>
        </w:rPr>
      </w:pPr>
      <w:r>
        <w:rPr>
          <w:lang w:val="en-US" w:eastAsia="en-US"/>
        </w:rPr>
        <mc:AlternateContent>
          <mc:Choice Requires="wps">
            <w:drawing>
              <wp:anchor distT="0" distB="0" distL="114300" distR="114300" simplePos="0" relativeHeight="251692032" behindDoc="0" locked="0" layoutInCell="1" allowOverlap="1" wp14:anchorId="473F2A3B" wp14:editId="5D43F7D7">
                <wp:simplePos x="0" y="0"/>
                <wp:positionH relativeFrom="column">
                  <wp:posOffset>3505200</wp:posOffset>
                </wp:positionH>
                <wp:positionV relativeFrom="paragraph">
                  <wp:posOffset>39370</wp:posOffset>
                </wp:positionV>
                <wp:extent cx="2207895" cy="249555"/>
                <wp:effectExtent l="0" t="0" r="1905" b="0"/>
                <wp:wrapSquare wrapText="bothSides"/>
                <wp:docPr id="3" name="Text Box 3"/>
                <wp:cNvGraphicFramePr/>
                <a:graphic xmlns:a="http://schemas.openxmlformats.org/drawingml/2006/main">
                  <a:graphicData uri="http://schemas.microsoft.com/office/word/2010/wordprocessingShape">
                    <wps:wsp>
                      <wps:cNvSpPr txBox="1"/>
                      <wps:spPr>
                        <a:xfrm>
                          <a:off x="0" y="0"/>
                          <a:ext cx="2207895" cy="249555"/>
                        </a:xfrm>
                        <a:prstGeom prst="rect">
                          <a:avLst/>
                        </a:prstGeom>
                        <a:solidFill>
                          <a:prstClr val="white"/>
                        </a:solidFill>
                        <a:ln>
                          <a:noFill/>
                        </a:ln>
                        <a:effectLst/>
                      </wps:spPr>
                      <wps:txbx>
                        <w:txbxContent>
                          <w:p w14:paraId="0401FE9D" w14:textId="77777777" w:rsidR="005C750A" w:rsidRPr="00217554" w:rsidRDefault="005C750A" w:rsidP="007976F6">
                            <w:pPr>
                              <w:rPr>
                                <w:noProof/>
                              </w:rPr>
                            </w:pPr>
                            <w:bookmarkStart w:id="15" w:name="_Toc102559771"/>
                            <w:bookmarkStart w:id="16" w:name="_Toc102560669"/>
                            <w:r w:rsidRPr="00217554">
                              <w:t xml:space="preserve">Figure </w:t>
                            </w:r>
                            <w:r w:rsidR="002E1637">
                              <w:fldChar w:fldCharType="begin"/>
                            </w:r>
                            <w:r w:rsidR="002E1637">
                              <w:instrText xml:space="preserve"> SEQ Figure \* ARABIC </w:instrText>
                            </w:r>
                            <w:r w:rsidR="002E1637">
                              <w:fldChar w:fldCharType="separate"/>
                            </w:r>
                            <w:r>
                              <w:rPr>
                                <w:noProof/>
                              </w:rPr>
                              <w:t>1</w:t>
                            </w:r>
                            <w:r w:rsidR="002E1637">
                              <w:rPr>
                                <w:noProof/>
                              </w:rPr>
                              <w:fldChar w:fldCharType="end"/>
                            </w:r>
                            <w:r w:rsidRPr="00217554">
                              <w:t xml:space="preserve">: Total Public </w:t>
                            </w:r>
                            <w:r>
                              <w:t>Debt B</w:t>
                            </w:r>
                            <w:r w:rsidRPr="00217554">
                              <w:t>y Residency 2017-2021</w:t>
                            </w:r>
                            <w:bookmarkEnd w:id="15"/>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73F2A3B" id="Text Box 3" o:spid="_x0000_s1031" type="#_x0000_t202" style="position:absolute;left:0;text-align:left;margin-left:276pt;margin-top:3.1pt;width:173.85pt;height:19.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" stroked="f">
                <v:textbox inset="0,0,0,0">
                  <w:txbxContent>
                    <w:p w14:paraId="0401FE9D" w14:textId="77777777" w:rsidR="005C750A" w:rsidRPr="00217554" w:rsidRDefault="005C750A" w:rsidP="007976F6">
                      <w:pPr>
                        <w:rPr>
                          <w:noProof/>
                        </w:rPr>
                      </w:pPr>
                      <w:bookmarkStart w:id="17" w:name="_Toc102559771"/>
                      <w:bookmarkStart w:id="18" w:name="_Toc102560669"/>
                      <w:r w:rsidRPr="00217554">
                        <w:t xml:space="preserve">Figure </w:t>
                      </w:r>
                      <w:fldSimple w:instr=" SEQ Figure \* ARABIC ">
                        <w:r>
                          <w:rPr>
                            <w:noProof/>
                          </w:rPr>
                          <w:t>1</w:t>
                        </w:r>
                      </w:fldSimple>
                      <w:r w:rsidRPr="00217554">
                        <w:t xml:space="preserve">: Total Public </w:t>
                      </w:r>
                      <w:r>
                        <w:t>Debt B</w:t>
                      </w:r>
                      <w:r w:rsidRPr="00217554">
                        <w:t>y Residency 2017-2021</w:t>
                      </w:r>
                      <w:bookmarkEnd w:id="17"/>
                      <w:bookmarkEnd w:id="18"/>
                    </w:p>
                  </w:txbxContent>
                </v:textbox>
                <w10:wrap type="square"/>
              </v:shape>
            </w:pict>
          </mc:Fallback>
        </mc:AlternateContent>
      </w:r>
      <w:r w:rsidR="001F0670" w:rsidRPr="00BB3D52">
        <w:rPr>
          <w:rFonts w:cs="Times New Roman"/>
          <w:sz w:val="24"/>
          <w:szCs w:val="24"/>
        </w:rPr>
        <w:t>Total public sector debt in</w:t>
      </w:r>
      <w:r w:rsidR="00973B90" w:rsidRPr="00BB3D52">
        <w:rPr>
          <w:rFonts w:cs="Times New Roman"/>
          <w:sz w:val="24"/>
          <w:szCs w:val="24"/>
        </w:rPr>
        <w:t xml:space="preserve"> </w:t>
      </w:r>
      <w:r w:rsidR="00A023AA" w:rsidRPr="00BB3D52">
        <w:rPr>
          <w:rFonts w:cs="Times New Roman"/>
          <w:sz w:val="24"/>
          <w:szCs w:val="24"/>
        </w:rPr>
        <w:t>December 2021 stood at $4,135.43</w:t>
      </w:r>
      <w:r w:rsidR="001F0670" w:rsidRPr="00BB3D52">
        <w:rPr>
          <w:rFonts w:cs="Times New Roman"/>
          <w:sz w:val="24"/>
          <w:szCs w:val="24"/>
        </w:rPr>
        <w:t xml:space="preserve">M increasing by </w:t>
      </w:r>
      <w:r w:rsidR="00A023AA" w:rsidRPr="00BB3D52">
        <w:rPr>
          <w:rFonts w:cs="Times New Roman"/>
          <w:sz w:val="24"/>
          <w:szCs w:val="24"/>
        </w:rPr>
        <w:t>$361.62</w:t>
      </w:r>
      <w:r w:rsidR="001D455E" w:rsidRPr="00BB3D52">
        <w:rPr>
          <w:rFonts w:cs="Times New Roman"/>
          <w:sz w:val="24"/>
          <w:szCs w:val="24"/>
        </w:rPr>
        <w:t xml:space="preserve">M or </w:t>
      </w:r>
      <w:r w:rsidR="00A023AA" w:rsidRPr="00BB3D52">
        <w:rPr>
          <w:rFonts w:cs="Times New Roman"/>
          <w:sz w:val="24"/>
          <w:szCs w:val="24"/>
        </w:rPr>
        <w:t>9.6</w:t>
      </w:r>
      <w:r w:rsidR="00973B90" w:rsidRPr="00BB3D52">
        <w:rPr>
          <w:rFonts w:cs="Times New Roman"/>
          <w:sz w:val="24"/>
          <w:szCs w:val="24"/>
        </w:rPr>
        <w:t>% over 2020</w:t>
      </w:r>
      <w:r w:rsidR="001F0670" w:rsidRPr="00BB3D52">
        <w:rPr>
          <w:rFonts w:cs="Times New Roman"/>
          <w:sz w:val="24"/>
          <w:szCs w:val="24"/>
        </w:rPr>
        <w:t xml:space="preserve"> and </w:t>
      </w:r>
      <w:r w:rsidR="00A023AA" w:rsidRPr="00BB3D52">
        <w:rPr>
          <w:rFonts w:cs="Times New Roman"/>
          <w:sz w:val="24"/>
          <w:szCs w:val="24"/>
        </w:rPr>
        <w:t xml:space="preserve">by an average of </w:t>
      </w:r>
      <w:r w:rsidR="00A023AA" w:rsidRPr="0082792A">
        <w:rPr>
          <w:rFonts w:cs="Times New Roman"/>
          <w:sz w:val="24"/>
          <w:szCs w:val="24"/>
        </w:rPr>
        <w:t>6.9</w:t>
      </w:r>
      <w:r w:rsidR="001F0670" w:rsidRPr="0082792A">
        <w:rPr>
          <w:rFonts w:cs="Times New Roman"/>
          <w:sz w:val="24"/>
          <w:szCs w:val="24"/>
        </w:rPr>
        <w:t xml:space="preserve">% </w:t>
      </w:r>
      <w:r w:rsidR="001F0670" w:rsidRPr="00BB3D52">
        <w:rPr>
          <w:rFonts w:cs="Times New Roman"/>
          <w:sz w:val="24"/>
          <w:szCs w:val="24"/>
        </w:rPr>
        <w:t xml:space="preserve">in the previous five years. </w:t>
      </w:r>
      <w:r w:rsidR="00693C6E" w:rsidRPr="00BB3D52">
        <w:rPr>
          <w:rFonts w:cs="Times New Roman"/>
          <w:sz w:val="24"/>
          <w:szCs w:val="24"/>
        </w:rPr>
        <w:t>T</w:t>
      </w:r>
      <w:r w:rsidR="00A023AA" w:rsidRPr="00BB3D52">
        <w:rPr>
          <w:rFonts w:cs="Times New Roman"/>
          <w:sz w:val="24"/>
          <w:szCs w:val="24"/>
        </w:rPr>
        <w:t>otal domestic debt was $1,845.19M or 44.6</w:t>
      </w:r>
      <w:r w:rsidR="001F0670" w:rsidRPr="00BB3D52">
        <w:rPr>
          <w:rFonts w:cs="Times New Roman"/>
          <w:sz w:val="24"/>
          <w:szCs w:val="24"/>
        </w:rPr>
        <w:t xml:space="preserve">% of total public sector debt while </w:t>
      </w:r>
      <w:r w:rsidR="00693C6E" w:rsidRPr="00BB3D52">
        <w:rPr>
          <w:rFonts w:cs="Times New Roman"/>
          <w:sz w:val="24"/>
          <w:szCs w:val="24"/>
        </w:rPr>
        <w:t>t</w:t>
      </w:r>
      <w:r w:rsidR="00A023AA" w:rsidRPr="00BB3D52">
        <w:rPr>
          <w:rFonts w:cs="Times New Roman"/>
          <w:sz w:val="24"/>
          <w:szCs w:val="24"/>
        </w:rPr>
        <w:t>otal external</w:t>
      </w:r>
      <w:r w:rsidR="00DD5C0B">
        <w:rPr>
          <w:rFonts w:cs="Times New Roman"/>
          <w:sz w:val="24"/>
          <w:szCs w:val="24"/>
        </w:rPr>
        <w:t xml:space="preserve"> </w:t>
      </w:r>
      <w:r w:rsidR="00A023AA" w:rsidRPr="00BB3D52">
        <w:rPr>
          <w:rFonts w:cs="Times New Roman"/>
          <w:sz w:val="24"/>
          <w:szCs w:val="24"/>
        </w:rPr>
        <w:t>debt was $2,290.24M or 55.4</w:t>
      </w:r>
      <w:r w:rsidR="001F0670" w:rsidRPr="00BB3D52">
        <w:rPr>
          <w:rFonts w:cs="Times New Roman"/>
          <w:sz w:val="24"/>
          <w:szCs w:val="24"/>
        </w:rPr>
        <w:t xml:space="preserve">% of total public sector debt. </w:t>
      </w:r>
    </w:p>
    <w:p w14:paraId="1AFD8918" w14:textId="77777777" w:rsidR="00BB3D52" w:rsidRPr="00561DBB" w:rsidRDefault="00365B1B" w:rsidP="00561DBB">
      <w:pPr>
        <w:spacing w:line="360" w:lineRule="auto"/>
        <w:jc w:val="both"/>
        <w:rPr>
          <w:rFonts w:cs="Times New Roman"/>
          <w:noProof/>
          <w:sz w:val="24"/>
          <w:szCs w:val="24"/>
          <w:lang w:val="en-US"/>
        </w:rPr>
      </w:pPr>
      <w:r w:rsidRPr="00BB3D52">
        <w:rPr>
          <w:rFonts w:cs="Times New Roman"/>
          <w:noProof/>
          <w:sz w:val="24"/>
          <w:szCs w:val="24"/>
          <w:lang w:val="en-US"/>
        </w:rPr>
        <w:t>Total domestic debt</w:t>
      </w:r>
      <w:r w:rsidR="00A023AA" w:rsidRPr="00BB3D52">
        <w:rPr>
          <w:rFonts w:cs="Times New Roman"/>
          <w:noProof/>
          <w:sz w:val="24"/>
          <w:szCs w:val="24"/>
          <w:lang w:val="en-US"/>
        </w:rPr>
        <w:t xml:space="preserve"> increased by an average of 4.6</w:t>
      </w:r>
      <w:r w:rsidR="000217BA" w:rsidRPr="00BB3D52">
        <w:rPr>
          <w:rFonts w:cs="Times New Roman"/>
          <w:noProof/>
          <w:sz w:val="24"/>
          <w:szCs w:val="24"/>
          <w:lang w:val="en-US"/>
        </w:rPr>
        <w:t>% over t</w:t>
      </w:r>
      <w:r w:rsidR="00656350" w:rsidRPr="00BB3D52">
        <w:rPr>
          <w:rFonts w:cs="Times New Roman"/>
          <w:noProof/>
          <w:sz w:val="24"/>
          <w:szCs w:val="24"/>
          <w:lang w:val="en-US"/>
        </w:rPr>
        <w:t>he previous five years</w:t>
      </w:r>
      <w:r w:rsidR="004423FA" w:rsidRPr="00BB3D52">
        <w:rPr>
          <w:rFonts w:cs="Times New Roman"/>
          <w:noProof/>
          <w:sz w:val="24"/>
          <w:szCs w:val="24"/>
          <w:lang w:val="en-US"/>
        </w:rPr>
        <w:t>,</w:t>
      </w:r>
      <w:r w:rsidR="004423FA" w:rsidRPr="00BB3D52">
        <w:rPr>
          <w:rFonts w:cs="Times New Roman"/>
          <w:noProof/>
          <w:color w:val="FF0000"/>
          <w:sz w:val="24"/>
          <w:szCs w:val="24"/>
          <w:lang w:val="en-US"/>
        </w:rPr>
        <w:t xml:space="preserve"> </w:t>
      </w:r>
      <w:r w:rsidR="004423FA" w:rsidRPr="00BB3D52">
        <w:rPr>
          <w:rFonts w:cs="Times New Roman"/>
          <w:noProof/>
          <w:sz w:val="24"/>
          <w:szCs w:val="24"/>
          <w:lang w:val="en-US"/>
        </w:rPr>
        <w:t xml:space="preserve">and </w:t>
      </w:r>
      <w:r w:rsidR="008D59AA" w:rsidRPr="00BB3D52">
        <w:rPr>
          <w:rFonts w:cs="Times New Roman"/>
          <w:noProof/>
          <w:sz w:val="24"/>
          <w:szCs w:val="24"/>
          <w:lang w:val="en-US"/>
        </w:rPr>
        <w:t>by only 0.6% from 2020 to 2021.</w:t>
      </w:r>
      <w:r w:rsidR="000217BA" w:rsidRPr="00BB3D52">
        <w:rPr>
          <w:rFonts w:cs="Times New Roman"/>
          <w:noProof/>
          <w:color w:val="FF0000"/>
          <w:sz w:val="24"/>
          <w:szCs w:val="24"/>
          <w:lang w:val="en-US"/>
        </w:rPr>
        <w:t xml:space="preserve"> </w:t>
      </w:r>
      <w:r w:rsidR="000217BA" w:rsidRPr="00BB3D52">
        <w:rPr>
          <w:rFonts w:cs="Times New Roman"/>
          <w:noProof/>
          <w:sz w:val="24"/>
          <w:szCs w:val="24"/>
          <w:lang w:val="en-US"/>
        </w:rPr>
        <w:t>The external portfoli</w:t>
      </w:r>
      <w:r w:rsidR="008D59AA" w:rsidRPr="00BB3D52">
        <w:rPr>
          <w:rFonts w:cs="Times New Roman"/>
          <w:noProof/>
          <w:sz w:val="24"/>
          <w:szCs w:val="24"/>
          <w:lang w:val="en-US"/>
        </w:rPr>
        <w:t xml:space="preserve">o increased by an average </w:t>
      </w:r>
      <w:r w:rsidR="008D59AA" w:rsidRPr="0082792A">
        <w:rPr>
          <w:rFonts w:cs="Times New Roman"/>
          <w:noProof/>
          <w:sz w:val="24"/>
          <w:szCs w:val="24"/>
          <w:lang w:val="en-US"/>
        </w:rPr>
        <w:t xml:space="preserve">of 9.1% </w:t>
      </w:r>
      <w:r w:rsidR="008D59AA" w:rsidRPr="00BB3D52">
        <w:rPr>
          <w:rFonts w:cs="Times New Roman"/>
          <w:noProof/>
          <w:sz w:val="24"/>
          <w:szCs w:val="24"/>
          <w:lang w:val="en-US"/>
        </w:rPr>
        <w:t xml:space="preserve">from 2017 to 2021, and by </w:t>
      </w:r>
      <w:r w:rsidR="008D59AA" w:rsidRPr="00BB3D52">
        <w:rPr>
          <w:rFonts w:cs="Times New Roman"/>
          <w:noProof/>
          <w:color w:val="FF0000"/>
          <w:sz w:val="24"/>
          <w:szCs w:val="24"/>
          <w:lang w:val="en-US"/>
        </w:rPr>
        <w:t xml:space="preserve"> </w:t>
      </w:r>
      <w:r w:rsidR="008D59AA" w:rsidRPr="00BB3D52">
        <w:rPr>
          <w:rFonts w:cs="Times New Roman"/>
          <w:noProof/>
          <w:sz w:val="24"/>
          <w:szCs w:val="24"/>
          <w:lang w:val="en-US"/>
        </w:rPr>
        <w:t>17.6% in 2021.</w:t>
      </w:r>
      <w:r w:rsidR="00E13E4D">
        <w:rPr>
          <w:rFonts w:cs="Times New Roman"/>
          <w:noProof/>
          <w:sz w:val="24"/>
          <w:szCs w:val="24"/>
          <w:lang w:val="en-US"/>
        </w:rPr>
        <w:t xml:space="preserve"> </w:t>
      </w:r>
      <w:r w:rsidR="00BD704C">
        <w:rPr>
          <w:rFonts w:cs="Times New Roman"/>
          <w:noProof/>
          <w:sz w:val="24"/>
          <w:szCs w:val="24"/>
          <w:lang w:val="en-US"/>
        </w:rPr>
        <w:t xml:space="preserve">The </w:t>
      </w:r>
      <w:r w:rsidR="00F253B0" w:rsidRPr="00F253B0">
        <w:rPr>
          <w:rFonts w:cs="Times New Roman"/>
          <w:noProof/>
          <w:sz w:val="24"/>
          <w:szCs w:val="24"/>
          <w:lang w:val="en-US"/>
        </w:rPr>
        <w:t>COVID-19 pandemic spurred add</w:t>
      </w:r>
      <w:r w:rsidR="00F253B0">
        <w:rPr>
          <w:rFonts w:cs="Times New Roman"/>
          <w:noProof/>
          <w:sz w:val="24"/>
          <w:szCs w:val="24"/>
          <w:lang w:val="en-US"/>
        </w:rPr>
        <w:t xml:space="preserve">itional spending by the central </w:t>
      </w:r>
      <w:r w:rsidR="00F253B0" w:rsidRPr="00F253B0">
        <w:rPr>
          <w:rFonts w:cs="Times New Roman"/>
          <w:noProof/>
          <w:sz w:val="24"/>
          <w:szCs w:val="24"/>
          <w:lang w:val="en-US"/>
        </w:rPr>
        <w:t>government. In ad</w:t>
      </w:r>
      <w:r w:rsidR="00F253B0">
        <w:rPr>
          <w:rFonts w:cs="Times New Roman"/>
          <w:noProof/>
          <w:sz w:val="24"/>
          <w:szCs w:val="24"/>
          <w:lang w:val="en-US"/>
        </w:rPr>
        <w:t xml:space="preserve">dition, redemptions of maturing </w:t>
      </w:r>
      <w:r w:rsidR="00F253B0" w:rsidRPr="00F253B0">
        <w:rPr>
          <w:rFonts w:cs="Times New Roman"/>
          <w:noProof/>
          <w:sz w:val="24"/>
          <w:szCs w:val="24"/>
          <w:lang w:val="en-US"/>
        </w:rPr>
        <w:t xml:space="preserve">treasury bonds exerted cash flow pressures and necessitated more borrowing. </w:t>
      </w:r>
      <w:r w:rsidR="00F253B0">
        <w:rPr>
          <w:rFonts w:cs="Times New Roman"/>
          <w:noProof/>
          <w:sz w:val="24"/>
          <w:szCs w:val="24"/>
          <w:lang w:val="en-US"/>
        </w:rPr>
        <w:t xml:space="preserve">The reopening of the economy, coupled </w:t>
      </w:r>
      <w:r w:rsidR="00F253B0" w:rsidRPr="00F253B0">
        <w:rPr>
          <w:rFonts w:cs="Times New Roman"/>
          <w:noProof/>
          <w:sz w:val="24"/>
          <w:szCs w:val="24"/>
          <w:lang w:val="en-US"/>
        </w:rPr>
        <w:t xml:space="preserve">with </w:t>
      </w:r>
      <w:r w:rsidR="00D20D14">
        <w:rPr>
          <w:rFonts w:cs="Times New Roman"/>
          <w:noProof/>
          <w:sz w:val="24"/>
          <w:szCs w:val="24"/>
          <w:lang w:val="en-US"/>
        </w:rPr>
        <w:t>disbursements for</w:t>
      </w:r>
      <w:r w:rsidR="00F253B0" w:rsidRPr="00F253B0">
        <w:rPr>
          <w:rFonts w:cs="Times New Roman"/>
          <w:noProof/>
          <w:sz w:val="24"/>
          <w:szCs w:val="24"/>
          <w:lang w:val="en-US"/>
        </w:rPr>
        <w:t xml:space="preserve"> the </w:t>
      </w:r>
      <w:r w:rsidR="00F253B0" w:rsidRPr="00DD5C0B">
        <w:rPr>
          <w:rFonts w:cs="Times New Roman"/>
          <w:noProof/>
          <w:sz w:val="24"/>
          <w:szCs w:val="24"/>
          <w:lang w:val="en-US"/>
        </w:rPr>
        <w:t xml:space="preserve">Hewanorra International Airport </w:t>
      </w:r>
      <w:bookmarkStart w:id="17" w:name="_Toc519842260"/>
      <w:bookmarkStart w:id="18" w:name="_Toc522289565"/>
      <w:bookmarkStart w:id="19" w:name="_Toc947394"/>
      <w:bookmarkStart w:id="20" w:name="_Toc25228988"/>
      <w:r w:rsidR="00F253B0" w:rsidRPr="00DD5C0B">
        <w:rPr>
          <w:rFonts w:cs="Times New Roman"/>
          <w:noProof/>
          <w:sz w:val="24"/>
          <w:szCs w:val="24"/>
          <w:lang w:val="en-US"/>
        </w:rPr>
        <w:t>Redevelopment Project (</w:t>
      </w:r>
      <w:r w:rsidR="00DB389D">
        <w:rPr>
          <w:rFonts w:cs="Times New Roman"/>
          <w:noProof/>
          <w:sz w:val="24"/>
          <w:szCs w:val="24"/>
          <w:lang w:val="en-US"/>
        </w:rPr>
        <w:t>HIARDP</w:t>
      </w:r>
      <w:r w:rsidR="00F253B0" w:rsidRPr="00DD5C0B">
        <w:rPr>
          <w:rFonts w:cs="Times New Roman"/>
          <w:noProof/>
          <w:sz w:val="24"/>
          <w:szCs w:val="24"/>
          <w:lang w:val="en-US"/>
        </w:rPr>
        <w:t>)</w:t>
      </w:r>
      <w:r w:rsidR="00D20D14" w:rsidRPr="00DD5C0B">
        <w:t xml:space="preserve">, </w:t>
      </w:r>
      <w:r w:rsidR="00D20D14">
        <w:t xml:space="preserve">a </w:t>
      </w:r>
      <w:r w:rsidR="00BD704C" w:rsidRPr="00BD704C">
        <w:rPr>
          <w:rFonts w:cs="Times New Roman"/>
          <w:noProof/>
          <w:sz w:val="24"/>
          <w:szCs w:val="24"/>
          <w:lang w:val="en-US"/>
        </w:rPr>
        <w:t>government-guaranteed</w:t>
      </w:r>
      <w:r w:rsidR="00BD704C">
        <w:rPr>
          <w:rFonts w:cs="Times New Roman"/>
          <w:noProof/>
          <w:sz w:val="24"/>
          <w:szCs w:val="24"/>
          <w:lang w:val="en-US"/>
        </w:rPr>
        <w:t xml:space="preserve"> loan</w:t>
      </w:r>
      <w:r w:rsidR="00F253B0" w:rsidRPr="00F253B0">
        <w:rPr>
          <w:rFonts w:cs="Times New Roman"/>
          <w:noProof/>
          <w:sz w:val="24"/>
          <w:szCs w:val="24"/>
          <w:lang w:val="en-US"/>
        </w:rPr>
        <w:t>, contributed to the increase in the public d</w:t>
      </w:r>
      <w:r w:rsidR="00F253B0">
        <w:rPr>
          <w:rFonts w:cs="Times New Roman"/>
          <w:noProof/>
          <w:sz w:val="24"/>
          <w:szCs w:val="24"/>
          <w:lang w:val="en-US"/>
        </w:rPr>
        <w:t xml:space="preserve">ebt stock. However, as a result </w:t>
      </w:r>
      <w:r w:rsidR="00F253B0" w:rsidRPr="00F253B0">
        <w:rPr>
          <w:rFonts w:cs="Times New Roman"/>
          <w:noProof/>
          <w:sz w:val="24"/>
          <w:szCs w:val="24"/>
          <w:lang w:val="en-US"/>
        </w:rPr>
        <w:t>of the partial recovery in economic activity in 2021 from the sharp do</w:t>
      </w:r>
      <w:r w:rsidR="00F253B0">
        <w:rPr>
          <w:rFonts w:cs="Times New Roman"/>
          <w:noProof/>
          <w:sz w:val="24"/>
          <w:szCs w:val="24"/>
          <w:lang w:val="en-US"/>
        </w:rPr>
        <w:t xml:space="preserve">wnturn in 2020, preliminary GDP </w:t>
      </w:r>
      <w:r w:rsidR="00F253B0" w:rsidRPr="00F253B0">
        <w:rPr>
          <w:rFonts w:cs="Times New Roman"/>
          <w:noProof/>
          <w:sz w:val="24"/>
          <w:szCs w:val="24"/>
          <w:lang w:val="en-US"/>
        </w:rPr>
        <w:t>estimates suggest that the public debt to GDP ratio at the end of 2021 decr</w:t>
      </w:r>
      <w:r w:rsidR="00F253B0">
        <w:rPr>
          <w:rFonts w:cs="Times New Roman"/>
          <w:noProof/>
          <w:sz w:val="24"/>
          <w:szCs w:val="24"/>
          <w:lang w:val="en-US"/>
        </w:rPr>
        <w:t>eased to 90.6% from 92.2%</w:t>
      </w:r>
      <w:r w:rsidR="00F253B0" w:rsidRPr="00F253B0">
        <w:rPr>
          <w:rFonts w:cs="Times New Roman"/>
          <w:noProof/>
          <w:sz w:val="24"/>
          <w:szCs w:val="24"/>
          <w:lang w:val="en-US"/>
        </w:rPr>
        <w:t xml:space="preserve"> at the end of 2020. </w:t>
      </w:r>
      <w:r w:rsidR="0078490E" w:rsidRPr="0092044E">
        <w:rPr>
          <w:rFonts w:cs="Times New Roman"/>
          <w:sz w:val="24"/>
          <w:szCs w:val="24"/>
        </w:rPr>
        <w:t>(</w:t>
      </w:r>
      <w:r w:rsidR="00392EA2">
        <w:rPr>
          <w:rFonts w:cs="Times New Roman"/>
          <w:sz w:val="24"/>
          <w:szCs w:val="24"/>
        </w:rPr>
        <w:t>Figure</w:t>
      </w:r>
      <w:r w:rsidR="0078490E" w:rsidRPr="0092044E">
        <w:rPr>
          <w:rFonts w:cs="Times New Roman"/>
          <w:sz w:val="24"/>
          <w:szCs w:val="24"/>
        </w:rPr>
        <w:t xml:space="preserve"> 1)</w:t>
      </w:r>
      <w:r w:rsidR="0017093C" w:rsidRPr="0092044E">
        <w:rPr>
          <w:rFonts w:cs="Times New Roman"/>
          <w:noProof/>
          <w:sz w:val="24"/>
          <w:szCs w:val="24"/>
          <w:lang w:val="en-US"/>
        </w:rPr>
        <w:t xml:space="preserve"> </w:t>
      </w:r>
    </w:p>
    <w:p w14:paraId="0B8114F2" w14:textId="77777777" w:rsidR="006871EC" w:rsidRPr="00BB3D52" w:rsidRDefault="00955834" w:rsidP="00E0795E">
      <w:pPr>
        <w:pStyle w:val="Heading2"/>
        <w:spacing w:line="360" w:lineRule="auto"/>
        <w:rPr>
          <w:rFonts w:cs="Times New Roman"/>
          <w:sz w:val="24"/>
          <w:szCs w:val="24"/>
        </w:rPr>
      </w:pPr>
      <w:bookmarkStart w:id="21" w:name="_Toc102558911"/>
      <w:r>
        <w:rPr>
          <w:noProof/>
          <w:lang w:val="en-US"/>
        </w:rPr>
        <w:drawing>
          <wp:anchor distT="0" distB="0" distL="114300" distR="114300" simplePos="0" relativeHeight="251658240" behindDoc="0" locked="0" layoutInCell="1" allowOverlap="1" wp14:anchorId="1387EE37" wp14:editId="60CA782A">
            <wp:simplePos x="0" y="0"/>
            <wp:positionH relativeFrom="margin">
              <wp:posOffset>2994660</wp:posOffset>
            </wp:positionH>
            <wp:positionV relativeFrom="paragraph">
              <wp:posOffset>206375</wp:posOffset>
            </wp:positionV>
            <wp:extent cx="2865120" cy="1974850"/>
            <wp:effectExtent l="0" t="0" r="0"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365B1B" w:rsidRPr="00BB3D52">
        <w:rPr>
          <w:rFonts w:cs="Times New Roman"/>
          <w:sz w:val="24"/>
          <w:szCs w:val="24"/>
        </w:rPr>
        <w:t>1</w:t>
      </w:r>
      <w:r w:rsidR="00AC4929" w:rsidRPr="00BB3D52">
        <w:rPr>
          <w:rFonts w:cs="Times New Roman"/>
          <w:sz w:val="24"/>
          <w:szCs w:val="24"/>
        </w:rPr>
        <w:t>.2</w:t>
      </w:r>
      <w:r w:rsidR="00365B1B" w:rsidRPr="00BB3D52">
        <w:rPr>
          <w:rFonts w:cs="Times New Roman"/>
          <w:sz w:val="24"/>
          <w:szCs w:val="24"/>
        </w:rPr>
        <w:t xml:space="preserve"> </w:t>
      </w:r>
      <w:r w:rsidR="006A5C5C" w:rsidRPr="00BB3D52">
        <w:rPr>
          <w:rFonts w:cs="Times New Roman"/>
          <w:sz w:val="24"/>
          <w:szCs w:val="24"/>
        </w:rPr>
        <w:t>Total Public D</w:t>
      </w:r>
      <w:r w:rsidR="00717891" w:rsidRPr="00BB3D52">
        <w:rPr>
          <w:rFonts w:cs="Times New Roman"/>
          <w:sz w:val="24"/>
          <w:szCs w:val="24"/>
        </w:rPr>
        <w:t>ebt by Borrower</w:t>
      </w:r>
      <w:r w:rsidR="00365B1B" w:rsidRPr="00BB3D52">
        <w:rPr>
          <w:rFonts w:cs="Times New Roman"/>
          <w:sz w:val="24"/>
          <w:szCs w:val="24"/>
        </w:rPr>
        <w:t xml:space="preserve"> Category</w:t>
      </w:r>
      <w:bookmarkEnd w:id="17"/>
      <w:bookmarkEnd w:id="18"/>
      <w:bookmarkEnd w:id="19"/>
      <w:bookmarkEnd w:id="20"/>
      <w:bookmarkEnd w:id="21"/>
    </w:p>
    <w:p w14:paraId="720D365E" w14:textId="77777777" w:rsidR="00BB3D52" w:rsidRPr="00615779" w:rsidRDefault="00365B1B" w:rsidP="00E0795E">
      <w:pPr>
        <w:spacing w:line="360" w:lineRule="auto"/>
        <w:jc w:val="both"/>
        <w:rPr>
          <w:rFonts w:cs="Times New Roman"/>
          <w:color w:val="FF0000"/>
          <w:sz w:val="24"/>
          <w:szCs w:val="24"/>
        </w:rPr>
      </w:pPr>
      <w:r>
        <w:rPr>
          <w:noProof/>
          <w:lang w:val="en-US"/>
        </w:rPr>
        <mc:AlternateContent>
          <mc:Choice Requires="wps">
            <w:drawing>
              <wp:anchor distT="0" distB="0" distL="114300" distR="114300" simplePos="0" relativeHeight="251694080" behindDoc="0" locked="0" layoutInCell="1" allowOverlap="1" wp14:anchorId="5270C856" wp14:editId="4BC2665B">
                <wp:simplePos x="0" y="0"/>
                <wp:positionH relativeFrom="margin">
                  <wp:posOffset>3194050</wp:posOffset>
                </wp:positionH>
                <wp:positionV relativeFrom="paragraph">
                  <wp:posOffset>11430</wp:posOffset>
                </wp:positionV>
                <wp:extent cx="2574290" cy="24955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2574290" cy="249555"/>
                        </a:xfrm>
                        <a:prstGeom prst="rect">
                          <a:avLst/>
                        </a:prstGeom>
                        <a:solidFill>
                          <a:prstClr val="white"/>
                        </a:solidFill>
                        <a:ln>
                          <a:noFill/>
                        </a:ln>
                        <a:effectLst/>
                      </wps:spPr>
                      <wps:txbx>
                        <w:txbxContent>
                          <w:p w14:paraId="77DC54AE" w14:textId="77777777" w:rsidR="005C750A" w:rsidRPr="00217554" w:rsidRDefault="005C750A" w:rsidP="007976F6">
                            <w:pPr>
                              <w:rPr>
                                <w:noProof/>
                              </w:rPr>
                            </w:pPr>
                            <w:bookmarkStart w:id="22" w:name="_Toc102559772"/>
                            <w:bookmarkStart w:id="23" w:name="_Toc102560670"/>
                            <w:r w:rsidRPr="00217554">
                              <w:t xml:space="preserve">Figure </w:t>
                            </w:r>
                            <w:r w:rsidR="002E1637">
                              <w:fldChar w:fldCharType="begin"/>
                            </w:r>
                            <w:r w:rsidR="002E1637">
                              <w:instrText xml:space="preserve"> SEQ Figure \* ARABIC </w:instrText>
                            </w:r>
                            <w:r w:rsidR="002E1637">
                              <w:fldChar w:fldCharType="separate"/>
                            </w:r>
                            <w:r>
                              <w:rPr>
                                <w:noProof/>
                              </w:rPr>
                              <w:t>2</w:t>
                            </w:r>
                            <w:r w:rsidR="002E1637">
                              <w:rPr>
                                <w:noProof/>
                              </w:rPr>
                              <w:fldChar w:fldCharType="end"/>
                            </w:r>
                            <w:r w:rsidRPr="00217554">
                              <w:t xml:space="preserve">: </w:t>
                            </w:r>
                            <w:r w:rsidRPr="00217554">
                              <w:rPr>
                                <w:lang w:val="en-US"/>
                              </w:rPr>
                              <w:t>Total Public Debt by Borrower Category 2017-2021</w:t>
                            </w:r>
                            <w:bookmarkEnd w:id="22"/>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270C856" id="Text Box 21" o:spid="_x0000_s1032" type="#_x0000_t202" style="position:absolute;left:0;text-align:left;margin-left:251.5pt;margin-top:.9pt;width:202.7pt;height:19.6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" stroked="f">
                <v:textbox inset="0,0,0,0">
                  <w:txbxContent>
                    <w:p w14:paraId="77DC54AE" w14:textId="77777777" w:rsidR="005C750A" w:rsidRPr="00217554" w:rsidRDefault="005C750A" w:rsidP="007976F6">
                      <w:pPr>
                        <w:rPr>
                          <w:noProof/>
                        </w:rPr>
                      </w:pPr>
                      <w:bookmarkStart w:id="26" w:name="_Toc102559772"/>
                      <w:bookmarkStart w:id="27" w:name="_Toc102560670"/>
                      <w:r w:rsidRPr="00217554">
                        <w:t xml:space="preserve">Figure </w:t>
                      </w:r>
                      <w:fldSimple w:instr=" SEQ Figure \* ARABIC ">
                        <w:r>
                          <w:rPr>
                            <w:noProof/>
                          </w:rPr>
                          <w:t>2</w:t>
                        </w:r>
                      </w:fldSimple>
                      <w:r w:rsidRPr="00217554">
                        <w:t xml:space="preserve">: </w:t>
                      </w:r>
                      <w:r w:rsidRPr="00217554">
                        <w:rPr>
                          <w:lang w:val="en-US"/>
                        </w:rPr>
                        <w:t>Total Public Debt by Borrower Category 2017-2021</w:t>
                      </w:r>
                      <w:bookmarkEnd w:id="26"/>
                      <w:bookmarkEnd w:id="27"/>
                    </w:p>
                  </w:txbxContent>
                </v:textbox>
                <w10:wrap type="square" anchorx="margin"/>
              </v:shape>
            </w:pict>
          </mc:Fallback>
        </mc:AlternateContent>
      </w:r>
      <w:r w:rsidR="001F0670" w:rsidRPr="00BB3D52">
        <w:rPr>
          <w:rFonts w:cs="Times New Roman"/>
          <w:sz w:val="24"/>
          <w:szCs w:val="24"/>
        </w:rPr>
        <w:t>C</w:t>
      </w:r>
      <w:r w:rsidR="00561DBB">
        <w:rPr>
          <w:rFonts w:cs="Times New Roman"/>
          <w:sz w:val="24"/>
          <w:szCs w:val="24"/>
        </w:rPr>
        <w:t>entral G</w:t>
      </w:r>
      <w:r w:rsidR="0017093C" w:rsidRPr="00BB3D52">
        <w:rPr>
          <w:rFonts w:cs="Times New Roman"/>
          <w:sz w:val="24"/>
          <w:szCs w:val="24"/>
        </w:rPr>
        <w:t>overnment debt was $3</w:t>
      </w:r>
      <w:r w:rsidR="002C1D36" w:rsidRPr="00BB3D52">
        <w:rPr>
          <w:rFonts w:cs="Times New Roman"/>
          <w:sz w:val="24"/>
          <w:szCs w:val="24"/>
        </w:rPr>
        <w:t>,864.35</w:t>
      </w:r>
      <w:r w:rsidR="00C55CFD" w:rsidRPr="00BB3D52">
        <w:rPr>
          <w:rFonts w:cs="Times New Roman"/>
          <w:sz w:val="24"/>
          <w:szCs w:val="24"/>
        </w:rPr>
        <w:t>M</w:t>
      </w:r>
      <w:r w:rsidR="002C1D36" w:rsidRPr="00BB3D52">
        <w:rPr>
          <w:rFonts w:cs="Times New Roman"/>
          <w:sz w:val="24"/>
          <w:szCs w:val="24"/>
        </w:rPr>
        <w:t>, or 93.4</w:t>
      </w:r>
      <w:r w:rsidR="0017093C" w:rsidRPr="00BB3D52">
        <w:rPr>
          <w:rFonts w:cs="Times New Roman"/>
          <w:sz w:val="24"/>
          <w:szCs w:val="24"/>
        </w:rPr>
        <w:t>% of public sector debt</w:t>
      </w:r>
      <w:r w:rsidR="003B2B11" w:rsidRPr="00BB3D52">
        <w:rPr>
          <w:rFonts w:cs="Times New Roman"/>
          <w:sz w:val="24"/>
          <w:szCs w:val="24"/>
        </w:rPr>
        <w:t xml:space="preserve"> at the end of 2021</w:t>
      </w:r>
      <w:r w:rsidR="00561DBB">
        <w:rPr>
          <w:rFonts w:cs="Times New Roman"/>
          <w:sz w:val="24"/>
          <w:szCs w:val="24"/>
        </w:rPr>
        <w:t>, while g</w:t>
      </w:r>
      <w:r w:rsidR="001F0670" w:rsidRPr="00BB3D52">
        <w:rPr>
          <w:rFonts w:cs="Times New Roman"/>
          <w:sz w:val="24"/>
          <w:szCs w:val="24"/>
        </w:rPr>
        <w:t>overnment-guaranteed debt stood at</w:t>
      </w:r>
      <w:r w:rsidR="002C1D36" w:rsidRPr="00BB3D52">
        <w:rPr>
          <w:rFonts w:cs="Times New Roman"/>
          <w:sz w:val="24"/>
          <w:szCs w:val="24"/>
        </w:rPr>
        <w:t xml:space="preserve"> $270.87M or 6.5</w:t>
      </w:r>
      <w:r w:rsidR="0017093C" w:rsidRPr="00BB3D52">
        <w:rPr>
          <w:rFonts w:cs="Times New Roman"/>
          <w:sz w:val="24"/>
          <w:szCs w:val="24"/>
        </w:rPr>
        <w:t xml:space="preserve">% of total public </w:t>
      </w:r>
      <w:r w:rsidR="002C1D36" w:rsidRPr="00BB3D52">
        <w:rPr>
          <w:rFonts w:cs="Times New Roman"/>
          <w:sz w:val="24"/>
          <w:szCs w:val="24"/>
        </w:rPr>
        <w:t>sector debt</w:t>
      </w:r>
      <w:r w:rsidR="00BB3D52" w:rsidRPr="00BB3D52">
        <w:rPr>
          <w:rFonts w:cs="Times New Roman"/>
          <w:sz w:val="24"/>
          <w:szCs w:val="24"/>
        </w:rPr>
        <w:t xml:space="preserve">. </w:t>
      </w:r>
      <w:r w:rsidR="00614CF6" w:rsidRPr="00BB3D52">
        <w:rPr>
          <w:rFonts w:cs="Times New Roman"/>
          <w:sz w:val="24"/>
          <w:szCs w:val="24"/>
        </w:rPr>
        <w:t>N</w:t>
      </w:r>
      <w:r w:rsidR="002C1D36" w:rsidRPr="00BB3D52">
        <w:rPr>
          <w:rFonts w:cs="Times New Roman"/>
          <w:sz w:val="24"/>
          <w:szCs w:val="24"/>
        </w:rPr>
        <w:t>on-guaranteed debt was $0.20M</w:t>
      </w:r>
      <w:r w:rsidR="00614CF6" w:rsidRPr="00BB3D52">
        <w:rPr>
          <w:rFonts w:cs="Times New Roman"/>
          <w:sz w:val="24"/>
          <w:szCs w:val="24"/>
        </w:rPr>
        <w:t xml:space="preserve"> or 0.01% of the total public debt</w:t>
      </w:r>
      <w:r w:rsidR="002C1D36" w:rsidRPr="00BB3D52">
        <w:rPr>
          <w:rFonts w:cs="Times New Roman"/>
          <w:sz w:val="24"/>
          <w:szCs w:val="24"/>
        </w:rPr>
        <w:t>.</w:t>
      </w:r>
      <w:r w:rsidR="008E60D3" w:rsidRPr="00BB3D52">
        <w:rPr>
          <w:rFonts w:cs="Times New Roman"/>
          <w:color w:val="FF0000"/>
          <w:sz w:val="24"/>
          <w:szCs w:val="24"/>
        </w:rPr>
        <w:t xml:space="preserve"> </w:t>
      </w:r>
      <w:r w:rsidR="0017093C" w:rsidRPr="00BB3D52">
        <w:rPr>
          <w:rFonts w:cs="Times New Roman"/>
          <w:sz w:val="24"/>
          <w:szCs w:val="24"/>
        </w:rPr>
        <w:t xml:space="preserve">Central government debt increased </w:t>
      </w:r>
      <w:r w:rsidR="00493946" w:rsidRPr="00BB3D52">
        <w:rPr>
          <w:rFonts w:cs="Times New Roman"/>
          <w:sz w:val="24"/>
          <w:szCs w:val="24"/>
        </w:rPr>
        <w:t>by an average of 6.7</w:t>
      </w:r>
      <w:r w:rsidR="00656350" w:rsidRPr="00BB3D52">
        <w:rPr>
          <w:rFonts w:cs="Times New Roman"/>
          <w:sz w:val="24"/>
          <w:szCs w:val="24"/>
        </w:rPr>
        <w:t xml:space="preserve">% over the previous five years and </w:t>
      </w:r>
      <w:r w:rsidR="0005738C" w:rsidRPr="00BB3D52">
        <w:rPr>
          <w:rFonts w:cs="Times New Roman"/>
          <w:sz w:val="24"/>
          <w:szCs w:val="24"/>
        </w:rPr>
        <w:t>by $303.22</w:t>
      </w:r>
      <w:r w:rsidR="00493946" w:rsidRPr="00BB3D52">
        <w:rPr>
          <w:rFonts w:cs="Times New Roman"/>
          <w:sz w:val="24"/>
          <w:szCs w:val="24"/>
        </w:rPr>
        <w:t>M or 8.5</w:t>
      </w:r>
      <w:r w:rsidR="0017093C" w:rsidRPr="00BB3D52">
        <w:rPr>
          <w:rFonts w:cs="Times New Roman"/>
          <w:sz w:val="24"/>
          <w:szCs w:val="24"/>
        </w:rPr>
        <w:t>%</w:t>
      </w:r>
      <w:r w:rsidR="008413CD" w:rsidRPr="00BB3D52">
        <w:rPr>
          <w:rFonts w:cs="Times New Roman"/>
          <w:sz w:val="24"/>
          <w:szCs w:val="24"/>
        </w:rPr>
        <w:t xml:space="preserve"> </w:t>
      </w:r>
      <w:r w:rsidR="00493946" w:rsidRPr="00BB3D52">
        <w:rPr>
          <w:rFonts w:cs="Times New Roman"/>
          <w:sz w:val="24"/>
          <w:szCs w:val="24"/>
        </w:rPr>
        <w:t>over 2020</w:t>
      </w:r>
      <w:r w:rsidR="00656350" w:rsidRPr="00BB3D52">
        <w:rPr>
          <w:rFonts w:cs="Times New Roman"/>
          <w:sz w:val="24"/>
          <w:szCs w:val="24"/>
        </w:rPr>
        <w:t xml:space="preserve"> </w:t>
      </w:r>
      <w:r w:rsidR="008413CD" w:rsidRPr="00BB3D52">
        <w:rPr>
          <w:rFonts w:cs="Times New Roman"/>
          <w:sz w:val="24"/>
          <w:szCs w:val="24"/>
        </w:rPr>
        <w:t xml:space="preserve">due to increased </w:t>
      </w:r>
      <w:r w:rsidR="00656350" w:rsidRPr="00BB3D52">
        <w:rPr>
          <w:rFonts w:cs="Times New Roman"/>
          <w:sz w:val="24"/>
          <w:szCs w:val="24"/>
        </w:rPr>
        <w:t xml:space="preserve">loan </w:t>
      </w:r>
      <w:r w:rsidR="008413CD" w:rsidRPr="00BB3D52">
        <w:rPr>
          <w:rFonts w:cs="Times New Roman"/>
          <w:sz w:val="24"/>
          <w:szCs w:val="24"/>
        </w:rPr>
        <w:t>drawdo</w:t>
      </w:r>
      <w:r w:rsidR="00493946" w:rsidRPr="00BB3D52">
        <w:rPr>
          <w:rFonts w:cs="Times New Roman"/>
          <w:sz w:val="24"/>
          <w:szCs w:val="24"/>
        </w:rPr>
        <w:t>wns and securities activity.</w:t>
      </w:r>
      <w:r w:rsidR="008413CD" w:rsidRPr="00BB3D52">
        <w:rPr>
          <w:rFonts w:cs="Times New Roman"/>
          <w:noProof/>
          <w:color w:val="FF0000"/>
          <w:sz w:val="24"/>
          <w:szCs w:val="24"/>
          <w:lang w:val="en-US"/>
        </w:rPr>
        <w:t xml:space="preserve"> </w:t>
      </w:r>
      <w:r w:rsidR="000C450E" w:rsidRPr="00BB3D52">
        <w:rPr>
          <w:rFonts w:cs="Times New Roman"/>
          <w:sz w:val="24"/>
          <w:szCs w:val="24"/>
        </w:rPr>
        <w:t>(</w:t>
      </w:r>
      <w:r w:rsidR="00392EA2">
        <w:rPr>
          <w:rFonts w:cs="Times New Roman"/>
          <w:sz w:val="24"/>
          <w:szCs w:val="24"/>
        </w:rPr>
        <w:t>Figure</w:t>
      </w:r>
      <w:r w:rsidR="000C450E" w:rsidRPr="00BB3D52">
        <w:rPr>
          <w:rFonts w:cs="Times New Roman"/>
          <w:sz w:val="24"/>
          <w:szCs w:val="24"/>
        </w:rPr>
        <w:t xml:space="preserve"> 2)</w:t>
      </w:r>
      <w:r w:rsidR="00BB3D52" w:rsidRPr="00BB3D52">
        <w:rPr>
          <w:noProof/>
          <w:lang w:eastAsia="en-029"/>
        </w:rPr>
        <w:t xml:space="preserve"> </w:t>
      </w:r>
    </w:p>
    <w:p w14:paraId="7FEBA5A9" w14:textId="77777777" w:rsidR="00BB3D52" w:rsidRDefault="00365B1B" w:rsidP="00E0795E">
      <w:pPr>
        <w:pStyle w:val="Heading2"/>
        <w:spacing w:line="360" w:lineRule="auto"/>
        <w:rPr>
          <w:rFonts w:cs="Times New Roman"/>
          <w:sz w:val="24"/>
          <w:szCs w:val="24"/>
        </w:rPr>
      </w:pPr>
      <w:bookmarkStart w:id="24" w:name="_Toc102558912"/>
      <w:r w:rsidRPr="00BB3D52">
        <w:rPr>
          <w:rFonts w:cs="Times New Roman"/>
          <w:sz w:val="24"/>
          <w:szCs w:val="24"/>
        </w:rPr>
        <w:t>1</w:t>
      </w:r>
      <w:r>
        <w:rPr>
          <w:rFonts w:cs="Times New Roman"/>
          <w:sz w:val="24"/>
          <w:szCs w:val="24"/>
        </w:rPr>
        <w:t>.3</w:t>
      </w:r>
      <w:r w:rsidRPr="00BB3D52">
        <w:rPr>
          <w:rFonts w:cs="Times New Roman"/>
          <w:sz w:val="24"/>
          <w:szCs w:val="24"/>
        </w:rPr>
        <w:t xml:space="preserve"> Total Public D</w:t>
      </w:r>
      <w:r>
        <w:rPr>
          <w:rFonts w:cs="Times New Roman"/>
          <w:sz w:val="24"/>
          <w:szCs w:val="24"/>
        </w:rPr>
        <w:t>ebt by Instrument</w:t>
      </w:r>
      <w:bookmarkEnd w:id="24"/>
    </w:p>
    <w:p w14:paraId="0E3F4BCB" w14:textId="4DFF0D92" w:rsidR="00BB3D52" w:rsidRPr="00BB3D52" w:rsidRDefault="00365B1B" w:rsidP="0035235B">
      <w:pPr>
        <w:spacing w:line="360" w:lineRule="auto"/>
        <w:jc w:val="both"/>
      </w:pPr>
      <w:r>
        <w:rPr>
          <w:noProof/>
          <w:lang w:val="en-US"/>
        </w:rPr>
        <mc:AlternateContent>
          <mc:Choice Requires="wps">
            <w:drawing>
              <wp:anchor distT="0" distB="0" distL="114300" distR="114300" simplePos="0" relativeHeight="251696128" behindDoc="0" locked="0" layoutInCell="1" allowOverlap="1" wp14:anchorId="7BDD8619" wp14:editId="7C6E7380">
                <wp:simplePos x="0" y="0"/>
                <wp:positionH relativeFrom="margin">
                  <wp:posOffset>3362325</wp:posOffset>
                </wp:positionH>
                <wp:positionV relativeFrom="paragraph">
                  <wp:posOffset>114935</wp:posOffset>
                </wp:positionV>
                <wp:extent cx="2495550" cy="142875"/>
                <wp:effectExtent l="0" t="0" r="0" b="9525"/>
                <wp:wrapSquare wrapText="bothSides"/>
                <wp:docPr id="31" name="Text Box 31"/>
                <wp:cNvGraphicFramePr/>
                <a:graphic xmlns:a="http://schemas.openxmlformats.org/drawingml/2006/main">
                  <a:graphicData uri="http://schemas.microsoft.com/office/word/2010/wordprocessingShape">
                    <wps:wsp>
                      <wps:cNvSpPr txBox="1"/>
                      <wps:spPr>
                        <a:xfrm>
                          <a:off x="0" y="0"/>
                          <a:ext cx="2495550" cy="142875"/>
                        </a:xfrm>
                        <a:prstGeom prst="rect">
                          <a:avLst/>
                        </a:prstGeom>
                        <a:solidFill>
                          <a:prstClr val="white"/>
                        </a:solidFill>
                        <a:ln>
                          <a:noFill/>
                        </a:ln>
                        <a:effectLst/>
                      </wps:spPr>
                      <wps:txbx>
                        <w:txbxContent>
                          <w:p w14:paraId="381CA414" w14:textId="77777777" w:rsidR="005C750A" w:rsidRPr="00FE4F6A" w:rsidRDefault="005C750A" w:rsidP="007976F6">
                            <w:pPr>
                              <w:rPr>
                                <w:noProof/>
                              </w:rPr>
                            </w:pPr>
                            <w:bookmarkStart w:id="25" w:name="_Toc102559773"/>
                            <w:bookmarkStart w:id="26" w:name="_Toc102560671"/>
                            <w:r w:rsidRPr="00FE4F6A">
                              <w:t xml:space="preserve">Figure </w:t>
                            </w:r>
                            <w:r w:rsidR="002E1637">
                              <w:fldChar w:fldCharType="begin"/>
                            </w:r>
                            <w:r w:rsidR="002E1637">
                              <w:instrText xml:space="preserve"> SEQ Figure \* ARABIC </w:instrText>
                            </w:r>
                            <w:r w:rsidR="002E1637">
                              <w:fldChar w:fldCharType="separate"/>
                            </w:r>
                            <w:r>
                              <w:rPr>
                                <w:noProof/>
                              </w:rPr>
                              <w:t>3</w:t>
                            </w:r>
                            <w:r w:rsidR="002E1637">
                              <w:rPr>
                                <w:noProof/>
                              </w:rPr>
                              <w:fldChar w:fldCharType="end"/>
                            </w:r>
                            <w:r w:rsidRPr="00FE4F6A">
                              <w:t>: Total Public Debt by Instrument 2017-2021</w:t>
                            </w:r>
                            <w:bookmarkEnd w:id="25"/>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BDD8619" id="Text Box 31" o:spid="_x0000_s1033" type="#_x0000_t202" style="position:absolute;left:0;text-align:left;margin-left:264.75pt;margin-top:9.05pt;width:196.5pt;height:11.2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" stroked="f">
                <v:textbox inset="0,0,0,0">
                  <w:txbxContent>
                    <w:p w14:paraId="381CA414" w14:textId="77777777" w:rsidR="005C750A" w:rsidRPr="00FE4F6A" w:rsidRDefault="005C750A" w:rsidP="007976F6">
                      <w:pPr>
                        <w:rPr>
                          <w:noProof/>
                        </w:rPr>
                      </w:pPr>
                      <w:bookmarkStart w:id="31" w:name="_Toc102559773"/>
                      <w:bookmarkStart w:id="32" w:name="_Toc102560671"/>
                      <w:r w:rsidRPr="00FE4F6A">
                        <w:t xml:space="preserve">Figure </w:t>
                      </w:r>
                      <w:fldSimple w:instr=" SEQ Figure \* ARABIC ">
                        <w:r>
                          <w:rPr>
                            <w:noProof/>
                          </w:rPr>
                          <w:t>3</w:t>
                        </w:r>
                      </w:fldSimple>
                      <w:r w:rsidRPr="00FE4F6A">
                        <w:t>: Total Public Debt by Instrument 2017-2021</w:t>
                      </w:r>
                      <w:bookmarkEnd w:id="31"/>
                      <w:bookmarkEnd w:id="32"/>
                    </w:p>
                  </w:txbxContent>
                </v:textbox>
                <w10:wrap type="square" anchorx="margin"/>
              </v:shape>
            </w:pict>
          </mc:Fallback>
        </mc:AlternateContent>
      </w:r>
      <w:r w:rsidR="00615779" w:rsidRPr="0035235B">
        <w:rPr>
          <w:rFonts w:cs="Times New Roman"/>
          <w:noProof/>
          <w:sz w:val="24"/>
          <w:szCs w:val="24"/>
          <w:lang w:val="en-US"/>
        </w:rPr>
        <w:drawing>
          <wp:anchor distT="0" distB="0" distL="114300" distR="114300" simplePos="0" relativeHeight="251661312" behindDoc="0" locked="0" layoutInCell="1" allowOverlap="1" wp14:anchorId="3451F09C" wp14:editId="468854EE">
            <wp:simplePos x="0" y="0"/>
            <wp:positionH relativeFrom="margin">
              <wp:align>right</wp:align>
            </wp:positionH>
            <wp:positionV relativeFrom="paragraph">
              <wp:posOffset>126365</wp:posOffset>
            </wp:positionV>
            <wp:extent cx="2834640" cy="1920240"/>
            <wp:effectExtent l="0" t="0" r="0" b="0"/>
            <wp:wrapSquare wrapText="bothSides"/>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35235B" w:rsidRPr="0035235B">
        <w:rPr>
          <w:rFonts w:cs="Times New Roman"/>
          <w:sz w:val="24"/>
          <w:szCs w:val="24"/>
        </w:rPr>
        <w:t>The bonds portfolio averaged the greatest share of the total pub</w:t>
      </w:r>
      <w:r w:rsidR="00217554">
        <w:rPr>
          <w:rFonts w:cs="Times New Roman"/>
          <w:sz w:val="24"/>
          <w:szCs w:val="24"/>
        </w:rPr>
        <w:t xml:space="preserve">lic debt portfolio between 2017 and </w:t>
      </w:r>
      <w:r w:rsidR="0035235B" w:rsidRPr="0035235B">
        <w:rPr>
          <w:rFonts w:cs="Times New Roman"/>
          <w:sz w:val="24"/>
          <w:szCs w:val="24"/>
        </w:rPr>
        <w:t xml:space="preserve">2021 with </w:t>
      </w:r>
      <w:r w:rsidR="0035235B" w:rsidRPr="005D65FA">
        <w:rPr>
          <w:rFonts w:cs="Times New Roman"/>
          <w:sz w:val="24"/>
          <w:szCs w:val="24"/>
        </w:rPr>
        <w:t>36.</w:t>
      </w:r>
      <w:r w:rsidR="005D65FA" w:rsidRPr="003B69EF">
        <w:rPr>
          <w:rFonts w:cs="Times New Roman"/>
          <w:sz w:val="24"/>
          <w:szCs w:val="24"/>
        </w:rPr>
        <w:t>3</w:t>
      </w:r>
      <w:r w:rsidR="0035235B" w:rsidRPr="005D65FA">
        <w:rPr>
          <w:rFonts w:cs="Times New Roman"/>
          <w:sz w:val="24"/>
          <w:szCs w:val="24"/>
        </w:rPr>
        <w:t>%</w:t>
      </w:r>
      <w:r w:rsidR="005D65FA">
        <w:rPr>
          <w:rFonts w:cs="Times New Roman"/>
          <w:sz w:val="24"/>
          <w:szCs w:val="24"/>
        </w:rPr>
        <w:t>; and</w:t>
      </w:r>
      <w:r w:rsidR="005D65FA" w:rsidRPr="00F86BD9">
        <w:rPr>
          <w:rFonts w:cs="Times New Roman"/>
          <w:sz w:val="24"/>
          <w:szCs w:val="24"/>
        </w:rPr>
        <w:t xml:space="preserve"> fell 0.7% over 2020 ending 2021 with a 33.2% share of public debt</w:t>
      </w:r>
      <w:r w:rsidR="005D65FA">
        <w:rPr>
          <w:rFonts w:cs="Times New Roman"/>
          <w:sz w:val="24"/>
          <w:szCs w:val="24"/>
        </w:rPr>
        <w:t xml:space="preserve">. </w:t>
      </w:r>
      <w:r w:rsidR="0035235B" w:rsidRPr="003B69EF">
        <w:rPr>
          <w:rFonts w:cs="Times New Roman"/>
          <w:color w:val="FF0000"/>
          <w:sz w:val="24"/>
          <w:szCs w:val="24"/>
        </w:rPr>
        <w:t xml:space="preserve"> </w:t>
      </w:r>
      <w:r w:rsidR="0035235B" w:rsidRPr="0035235B">
        <w:rPr>
          <w:rFonts w:cs="Times New Roman"/>
          <w:sz w:val="24"/>
          <w:szCs w:val="24"/>
        </w:rPr>
        <w:t>The loan portfolio averaged 35.9% over the same period. Loans increased</w:t>
      </w:r>
      <w:r w:rsidR="00561DBB">
        <w:rPr>
          <w:rFonts w:cs="Times New Roman"/>
          <w:sz w:val="24"/>
          <w:szCs w:val="24"/>
        </w:rPr>
        <w:t xml:space="preserve"> by</w:t>
      </w:r>
      <w:r w:rsidR="0035235B" w:rsidRPr="0035235B">
        <w:rPr>
          <w:rFonts w:cs="Times New Roman"/>
          <w:sz w:val="24"/>
          <w:szCs w:val="24"/>
        </w:rPr>
        <w:t xml:space="preserve"> 22.2% from 2020 </w:t>
      </w:r>
      <w:r w:rsidR="00561DBB">
        <w:rPr>
          <w:rFonts w:cs="Times New Roman"/>
          <w:sz w:val="24"/>
          <w:szCs w:val="24"/>
        </w:rPr>
        <w:t xml:space="preserve">to 2021 </w:t>
      </w:r>
      <w:r w:rsidR="0035235B" w:rsidRPr="0035235B">
        <w:rPr>
          <w:rFonts w:cs="Times New Roman"/>
          <w:sz w:val="24"/>
          <w:szCs w:val="24"/>
        </w:rPr>
        <w:t xml:space="preserve">owing mostly to increased central government disbursements and guaranteed disbursements from the </w:t>
      </w:r>
      <w:r w:rsidR="00DB389D">
        <w:rPr>
          <w:rFonts w:cs="Times New Roman"/>
          <w:sz w:val="24"/>
          <w:szCs w:val="24"/>
        </w:rPr>
        <w:t>HIARDP</w:t>
      </w:r>
      <w:r w:rsidR="0035235B" w:rsidRPr="0035235B">
        <w:rPr>
          <w:rFonts w:cs="Times New Roman"/>
          <w:sz w:val="24"/>
          <w:szCs w:val="24"/>
        </w:rPr>
        <w:t xml:space="preserve"> loan</w:t>
      </w:r>
      <w:r w:rsidR="00F86BD9" w:rsidRPr="00F86BD9">
        <w:rPr>
          <w:rFonts w:cs="Times New Roman"/>
          <w:sz w:val="24"/>
          <w:szCs w:val="24"/>
        </w:rPr>
        <w:t xml:space="preserve"> giving </w:t>
      </w:r>
      <w:r w:rsidR="0082792A">
        <w:rPr>
          <w:rFonts w:cs="Times New Roman"/>
          <w:sz w:val="24"/>
          <w:szCs w:val="24"/>
        </w:rPr>
        <w:t xml:space="preserve">the loan portfolio </w:t>
      </w:r>
      <w:r w:rsidR="00F86BD9" w:rsidRPr="00F86BD9">
        <w:rPr>
          <w:rFonts w:cs="Times New Roman"/>
          <w:sz w:val="24"/>
          <w:szCs w:val="24"/>
        </w:rPr>
        <w:t>a 42.0% share of public debt.</w:t>
      </w:r>
      <w:r w:rsidR="0035235B" w:rsidRPr="003B69EF">
        <w:rPr>
          <w:sz w:val="24"/>
          <w:szCs w:val="24"/>
        </w:rPr>
        <w:t xml:space="preserve"> </w:t>
      </w:r>
      <w:r w:rsidR="00353328" w:rsidRPr="003B69EF">
        <w:rPr>
          <w:sz w:val="24"/>
          <w:szCs w:val="24"/>
        </w:rPr>
        <w:t xml:space="preserve"> (Figure 3)</w:t>
      </w:r>
    </w:p>
    <w:p w14:paraId="2D4B66EA" w14:textId="77777777" w:rsidR="00BB3D52" w:rsidRDefault="00BB3D52" w:rsidP="00E0795E">
      <w:pPr>
        <w:spacing w:line="360" w:lineRule="auto"/>
        <w:jc w:val="both"/>
        <w:rPr>
          <w:rFonts w:cs="Times New Roman"/>
          <w:sz w:val="24"/>
          <w:szCs w:val="24"/>
        </w:rPr>
      </w:pPr>
    </w:p>
    <w:p w14:paraId="40B7F361" w14:textId="77777777" w:rsidR="00615779" w:rsidRPr="00BB3D52" w:rsidRDefault="00615779" w:rsidP="00E0795E">
      <w:pPr>
        <w:spacing w:line="360" w:lineRule="auto"/>
        <w:jc w:val="both"/>
        <w:rPr>
          <w:rFonts w:cs="Times New Roman"/>
          <w:sz w:val="24"/>
          <w:szCs w:val="24"/>
        </w:rPr>
      </w:pPr>
    </w:p>
    <w:p w14:paraId="6C0097F1" w14:textId="77777777" w:rsidR="00E46465" w:rsidRPr="00BB3D52" w:rsidRDefault="00365B1B" w:rsidP="00E0795E">
      <w:pPr>
        <w:pStyle w:val="Heading1"/>
        <w:spacing w:line="360" w:lineRule="auto"/>
        <w:rPr>
          <w:rFonts w:cs="Times New Roman"/>
          <w:sz w:val="24"/>
          <w:szCs w:val="24"/>
        </w:rPr>
      </w:pPr>
      <w:bookmarkStart w:id="27" w:name="_Toc522289574"/>
      <w:bookmarkStart w:id="28" w:name="_Toc947403"/>
      <w:bookmarkStart w:id="29" w:name="_Toc25228998"/>
      <w:bookmarkStart w:id="30" w:name="_Toc102558913"/>
      <w:bookmarkStart w:id="31" w:name="_Toc522289566"/>
      <w:bookmarkStart w:id="32" w:name="_Toc947395"/>
      <w:bookmarkStart w:id="33" w:name="_Toc25228989"/>
      <w:r w:rsidRPr="00BB3D52">
        <w:rPr>
          <w:rFonts w:cs="Times New Roman"/>
          <w:sz w:val="24"/>
          <w:szCs w:val="24"/>
        </w:rPr>
        <w:t>2. Total Public Domestic Debt</w:t>
      </w:r>
      <w:bookmarkStart w:id="34" w:name="_Toc947404"/>
      <w:bookmarkStart w:id="35" w:name="_Toc522289575"/>
      <w:bookmarkStart w:id="36" w:name="_Toc25228999"/>
      <w:bookmarkEnd w:id="27"/>
      <w:bookmarkEnd w:id="28"/>
      <w:bookmarkEnd w:id="29"/>
      <w:bookmarkEnd w:id="30"/>
    </w:p>
    <w:p w14:paraId="6DD1F23B" w14:textId="77777777" w:rsidR="00E016F3" w:rsidRPr="00BB3D52" w:rsidRDefault="00365B1B" w:rsidP="00E0795E">
      <w:pPr>
        <w:pStyle w:val="Heading2"/>
        <w:spacing w:line="360" w:lineRule="auto"/>
        <w:rPr>
          <w:rFonts w:cs="Times New Roman"/>
          <w:sz w:val="24"/>
          <w:szCs w:val="24"/>
        </w:rPr>
      </w:pPr>
      <w:bookmarkStart w:id="37" w:name="_Toc102558914"/>
      <w:r w:rsidRPr="00BB3D52">
        <w:rPr>
          <w:rFonts w:cs="Times New Roman"/>
          <w:sz w:val="24"/>
          <w:szCs w:val="24"/>
        </w:rPr>
        <w:t>2.1 Domestic Debt by Borrower Category</w:t>
      </w:r>
      <w:bookmarkEnd w:id="37"/>
    </w:p>
    <w:p w14:paraId="2A46C10A" w14:textId="77777777" w:rsidR="002B7112" w:rsidRPr="00BB3D52" w:rsidRDefault="00365B1B" w:rsidP="00E0795E">
      <w:pPr>
        <w:spacing w:line="360" w:lineRule="auto"/>
        <w:jc w:val="both"/>
        <w:rPr>
          <w:rFonts w:cs="Times New Roman"/>
          <w:b/>
          <w:sz w:val="24"/>
          <w:szCs w:val="24"/>
        </w:rPr>
      </w:pPr>
      <w:r>
        <w:rPr>
          <w:noProof/>
          <w:lang w:val="en-US"/>
        </w:rPr>
        <mc:AlternateContent>
          <mc:Choice Requires="wps">
            <w:drawing>
              <wp:anchor distT="0" distB="0" distL="114300" distR="114300" simplePos="0" relativeHeight="251698176" behindDoc="0" locked="0" layoutInCell="1" allowOverlap="1" wp14:anchorId="772F1A81" wp14:editId="6518C437">
                <wp:simplePos x="0" y="0"/>
                <wp:positionH relativeFrom="margin">
                  <wp:posOffset>3067050</wp:posOffset>
                </wp:positionH>
                <wp:positionV relativeFrom="paragraph">
                  <wp:posOffset>29845</wp:posOffset>
                </wp:positionV>
                <wp:extent cx="2733675" cy="161925"/>
                <wp:effectExtent l="0" t="0" r="9525" b="9525"/>
                <wp:wrapSquare wrapText="bothSides"/>
                <wp:docPr id="32" name="Text Box 32"/>
                <wp:cNvGraphicFramePr/>
                <a:graphic xmlns:a="http://schemas.openxmlformats.org/drawingml/2006/main">
                  <a:graphicData uri="http://schemas.microsoft.com/office/word/2010/wordprocessingShape">
                    <wps:wsp>
                      <wps:cNvSpPr txBox="1"/>
                      <wps:spPr>
                        <a:xfrm>
                          <a:off x="0" y="0"/>
                          <a:ext cx="2733675" cy="161925"/>
                        </a:xfrm>
                        <a:prstGeom prst="rect">
                          <a:avLst/>
                        </a:prstGeom>
                        <a:solidFill>
                          <a:prstClr val="white"/>
                        </a:solidFill>
                        <a:ln>
                          <a:noFill/>
                        </a:ln>
                        <a:effectLst/>
                      </wps:spPr>
                      <wps:txbx>
                        <w:txbxContent>
                          <w:p w14:paraId="59A21617" w14:textId="77777777" w:rsidR="005C750A" w:rsidRPr="00701BD2" w:rsidRDefault="005C750A" w:rsidP="007976F6">
                            <w:pPr>
                              <w:rPr>
                                <w:noProof/>
                              </w:rPr>
                            </w:pPr>
                            <w:bookmarkStart w:id="38" w:name="_Toc102559774"/>
                            <w:bookmarkStart w:id="39" w:name="_Toc102560672"/>
                            <w:r w:rsidRPr="00701BD2">
                              <w:t xml:space="preserve">Figure </w:t>
                            </w:r>
                            <w:r w:rsidR="002E1637">
                              <w:fldChar w:fldCharType="begin"/>
                            </w:r>
                            <w:r w:rsidR="002E1637">
                              <w:instrText xml:space="preserve"> SEQ Figure \* ARABIC </w:instrText>
                            </w:r>
                            <w:r w:rsidR="002E1637">
                              <w:fldChar w:fldCharType="separate"/>
                            </w:r>
                            <w:r>
                              <w:rPr>
                                <w:noProof/>
                              </w:rPr>
                              <w:t>4</w:t>
                            </w:r>
                            <w:r w:rsidR="002E1637">
                              <w:rPr>
                                <w:noProof/>
                              </w:rPr>
                              <w:fldChar w:fldCharType="end"/>
                            </w:r>
                            <w:r w:rsidRPr="00701BD2">
                              <w:t xml:space="preserve">: </w:t>
                            </w:r>
                            <w:r w:rsidRPr="00701BD2">
                              <w:rPr>
                                <w:lang w:val="en-US"/>
                              </w:rPr>
                              <w:t>Domestic Debt by Borrower Category 2017-2021</w:t>
                            </w:r>
                            <w:bookmarkEnd w:id="38"/>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72F1A81" id="Text Box 32" o:spid="_x0000_s1034" type="#_x0000_t202" style="position:absolute;left:0;text-align:left;margin-left:241.5pt;margin-top:2.35pt;width:215.25pt;height:12.7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" stroked="f">
                <v:textbox inset="0,0,0,0">
                  <w:txbxContent>
                    <w:p w14:paraId="59A21617" w14:textId="77777777" w:rsidR="005C750A" w:rsidRPr="00701BD2" w:rsidRDefault="005C750A" w:rsidP="007976F6">
                      <w:pPr>
                        <w:rPr>
                          <w:noProof/>
                        </w:rPr>
                      </w:pPr>
                      <w:bookmarkStart w:id="46" w:name="_Toc102559774"/>
                      <w:bookmarkStart w:id="47" w:name="_Toc102560672"/>
                      <w:r w:rsidRPr="00701BD2">
                        <w:t xml:space="preserve">Figure </w:t>
                      </w:r>
                      <w:fldSimple w:instr=" SEQ Figure \* ARABIC ">
                        <w:r>
                          <w:rPr>
                            <w:noProof/>
                          </w:rPr>
                          <w:t>4</w:t>
                        </w:r>
                      </w:fldSimple>
                      <w:r w:rsidRPr="00701BD2">
                        <w:t xml:space="preserve">: </w:t>
                      </w:r>
                      <w:r w:rsidRPr="00701BD2">
                        <w:rPr>
                          <w:lang w:val="en-US"/>
                        </w:rPr>
                        <w:t>Domestic Debt by Borrower Category 2017-2021</w:t>
                      </w:r>
                      <w:bookmarkEnd w:id="46"/>
                      <w:bookmarkEnd w:id="47"/>
                    </w:p>
                  </w:txbxContent>
                </v:textbox>
                <w10:wrap type="square" anchorx="margin"/>
              </v:shape>
            </w:pict>
          </mc:Fallback>
        </mc:AlternateContent>
      </w:r>
      <w:r w:rsidR="00615779">
        <w:rPr>
          <w:noProof/>
          <w:lang w:val="en-US"/>
        </w:rPr>
        <w:drawing>
          <wp:anchor distT="0" distB="0" distL="114300" distR="114300" simplePos="0" relativeHeight="251664384" behindDoc="0" locked="0" layoutInCell="1" allowOverlap="1" wp14:anchorId="022C6DD7" wp14:editId="7D7E8E3E">
            <wp:simplePos x="0" y="0"/>
            <wp:positionH relativeFrom="margin">
              <wp:align>right</wp:align>
            </wp:positionH>
            <wp:positionV relativeFrom="paragraph">
              <wp:posOffset>5488</wp:posOffset>
            </wp:positionV>
            <wp:extent cx="3017520" cy="2103120"/>
            <wp:effectExtent l="0" t="0" r="0" b="0"/>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C40ECD" w:rsidRPr="00BB3D52">
        <w:rPr>
          <w:rFonts w:cs="Times New Roman"/>
          <w:sz w:val="24"/>
          <w:szCs w:val="24"/>
        </w:rPr>
        <w:t>Domes</w:t>
      </w:r>
      <w:r w:rsidR="005F1D2F" w:rsidRPr="00BB3D52">
        <w:rPr>
          <w:rFonts w:cs="Times New Roman"/>
          <w:sz w:val="24"/>
          <w:szCs w:val="24"/>
        </w:rPr>
        <w:t xml:space="preserve">tic </w:t>
      </w:r>
      <w:r w:rsidR="002C1D36" w:rsidRPr="00BB3D52">
        <w:rPr>
          <w:rFonts w:cs="Times New Roman"/>
          <w:sz w:val="24"/>
          <w:szCs w:val="24"/>
        </w:rPr>
        <w:t>debt peaked in 2021 at $1,845.19M or 44.6</w:t>
      </w:r>
      <w:r w:rsidR="00C40ECD" w:rsidRPr="00BB3D52">
        <w:rPr>
          <w:rFonts w:cs="Times New Roman"/>
          <w:sz w:val="24"/>
          <w:szCs w:val="24"/>
        </w:rPr>
        <w:t>% of total public s</w:t>
      </w:r>
      <w:r w:rsidR="002E6EA7" w:rsidRPr="00BB3D52">
        <w:rPr>
          <w:rFonts w:cs="Times New Roman"/>
          <w:sz w:val="24"/>
          <w:szCs w:val="24"/>
        </w:rPr>
        <w:t xml:space="preserve">ector debt, </w:t>
      </w:r>
      <w:r w:rsidR="00614CF6" w:rsidRPr="00BB3D52">
        <w:rPr>
          <w:rFonts w:cs="Times New Roman"/>
          <w:sz w:val="24"/>
          <w:szCs w:val="24"/>
        </w:rPr>
        <w:t>increasing by $18.60M or 1.0</w:t>
      </w:r>
      <w:r w:rsidR="005F1D2F" w:rsidRPr="00BB3D52">
        <w:rPr>
          <w:rFonts w:cs="Times New Roman"/>
          <w:sz w:val="24"/>
          <w:szCs w:val="24"/>
        </w:rPr>
        <w:t>% over 2020</w:t>
      </w:r>
      <w:r w:rsidR="00C40ECD" w:rsidRPr="00BB3D52">
        <w:rPr>
          <w:rFonts w:cs="Times New Roman"/>
          <w:sz w:val="24"/>
          <w:szCs w:val="24"/>
        </w:rPr>
        <w:t>.</w:t>
      </w:r>
      <w:r w:rsidR="005F1D2F" w:rsidRPr="00BB3D52">
        <w:rPr>
          <w:rFonts w:cs="Times New Roman"/>
          <w:sz w:val="24"/>
          <w:szCs w:val="24"/>
        </w:rPr>
        <w:t xml:space="preserve"> At the end of 2021</w:t>
      </w:r>
      <w:r w:rsidR="00C40ECD" w:rsidRPr="00BB3D52">
        <w:rPr>
          <w:rFonts w:cs="Times New Roman"/>
          <w:sz w:val="24"/>
          <w:szCs w:val="24"/>
        </w:rPr>
        <w:t>, domestic central-gover</w:t>
      </w:r>
      <w:r w:rsidR="005F1D2F" w:rsidRPr="00BB3D52">
        <w:rPr>
          <w:rFonts w:cs="Times New Roman"/>
          <w:sz w:val="24"/>
          <w:szCs w:val="24"/>
        </w:rPr>
        <w:t>nment debt</w:t>
      </w:r>
      <w:r w:rsidR="00614CF6" w:rsidRPr="00BB3D52">
        <w:rPr>
          <w:rFonts w:cs="Times New Roman"/>
          <w:sz w:val="24"/>
          <w:szCs w:val="24"/>
        </w:rPr>
        <w:t xml:space="preserve"> contributed $1,689.85M or 91.6</w:t>
      </w:r>
      <w:r w:rsidR="002E6EA7" w:rsidRPr="00BB3D52">
        <w:rPr>
          <w:rFonts w:cs="Times New Roman"/>
          <w:sz w:val="24"/>
          <w:szCs w:val="24"/>
        </w:rPr>
        <w:t xml:space="preserve">%, </w:t>
      </w:r>
      <w:r w:rsidR="00C40ECD" w:rsidRPr="00BB3D52">
        <w:rPr>
          <w:rFonts w:cs="Times New Roman"/>
          <w:sz w:val="24"/>
          <w:szCs w:val="24"/>
        </w:rPr>
        <w:t>domestic gua</w:t>
      </w:r>
      <w:r w:rsidR="0050691E" w:rsidRPr="00BB3D52">
        <w:rPr>
          <w:rFonts w:cs="Times New Roman"/>
          <w:sz w:val="24"/>
          <w:szCs w:val="24"/>
        </w:rPr>
        <w:t>ra</w:t>
      </w:r>
      <w:r w:rsidR="00614CF6" w:rsidRPr="00BB3D52">
        <w:rPr>
          <w:rFonts w:cs="Times New Roman"/>
          <w:sz w:val="24"/>
          <w:szCs w:val="24"/>
        </w:rPr>
        <w:t>nteed debt contributed $155.13M or 8.4</w:t>
      </w:r>
      <w:r w:rsidR="0092087E" w:rsidRPr="00BB3D52">
        <w:rPr>
          <w:rFonts w:cs="Times New Roman"/>
          <w:sz w:val="24"/>
          <w:szCs w:val="24"/>
        </w:rPr>
        <w:t xml:space="preserve">% </w:t>
      </w:r>
      <w:r w:rsidR="002E6EA7" w:rsidRPr="00BB3D52">
        <w:rPr>
          <w:rFonts w:cs="Times New Roman"/>
          <w:sz w:val="24"/>
          <w:szCs w:val="24"/>
        </w:rPr>
        <w:t>a</w:t>
      </w:r>
      <w:r w:rsidR="00614CF6" w:rsidRPr="00BB3D52">
        <w:rPr>
          <w:rFonts w:cs="Times New Roman"/>
          <w:sz w:val="24"/>
          <w:szCs w:val="24"/>
        </w:rPr>
        <w:t>nd non-guaranteed debt was $0.20M or 0.01</w:t>
      </w:r>
      <w:r w:rsidR="002E6EA7" w:rsidRPr="00BB3D52">
        <w:rPr>
          <w:rFonts w:cs="Times New Roman"/>
          <w:sz w:val="24"/>
          <w:szCs w:val="24"/>
        </w:rPr>
        <w:t xml:space="preserve">% </w:t>
      </w:r>
      <w:r w:rsidR="00C40ECD" w:rsidRPr="00BB3D52">
        <w:rPr>
          <w:rFonts w:cs="Times New Roman"/>
          <w:sz w:val="24"/>
          <w:szCs w:val="24"/>
        </w:rPr>
        <w:t>of the domestic public sector debt portfolio.</w:t>
      </w:r>
      <w:r w:rsidR="005F1D2F" w:rsidRPr="00BB3D52">
        <w:rPr>
          <w:rFonts w:cs="Times New Roman"/>
          <w:sz w:val="24"/>
          <w:szCs w:val="24"/>
        </w:rPr>
        <w:t xml:space="preserve"> In 2021</w:t>
      </w:r>
      <w:r w:rsidR="00C40ECD" w:rsidRPr="00BB3D52">
        <w:rPr>
          <w:rFonts w:cs="Times New Roman"/>
          <w:sz w:val="24"/>
          <w:szCs w:val="24"/>
        </w:rPr>
        <w:t>, the domestic government-guaran</w:t>
      </w:r>
      <w:r w:rsidR="00614CF6" w:rsidRPr="00BB3D52">
        <w:rPr>
          <w:rFonts w:cs="Times New Roman"/>
          <w:sz w:val="24"/>
          <w:szCs w:val="24"/>
        </w:rPr>
        <w:t>teed portfolio increased by 6.6</w:t>
      </w:r>
      <w:r w:rsidR="008B6F49" w:rsidRPr="00BB3D52">
        <w:rPr>
          <w:rFonts w:cs="Times New Roman"/>
          <w:sz w:val="24"/>
          <w:szCs w:val="24"/>
        </w:rPr>
        <w:t>% compared to 2020</w:t>
      </w:r>
      <w:r w:rsidR="00C40ECD" w:rsidRPr="00BB3D52">
        <w:rPr>
          <w:rFonts w:cs="Times New Roman"/>
          <w:sz w:val="24"/>
          <w:szCs w:val="24"/>
        </w:rPr>
        <w:t>, and domestic central-gov</w:t>
      </w:r>
      <w:r w:rsidR="00E859E0" w:rsidRPr="00BB3D52">
        <w:rPr>
          <w:rFonts w:cs="Times New Roman"/>
          <w:sz w:val="24"/>
          <w:szCs w:val="24"/>
        </w:rPr>
        <w:t xml:space="preserve">ernment debt </w:t>
      </w:r>
      <w:r w:rsidR="008B6F49" w:rsidRPr="00BB3D52">
        <w:rPr>
          <w:rFonts w:cs="Times New Roman"/>
          <w:sz w:val="24"/>
          <w:szCs w:val="24"/>
        </w:rPr>
        <w:t>increased by</w:t>
      </w:r>
      <w:r w:rsidR="00787ABF" w:rsidRPr="00BB3D52">
        <w:rPr>
          <w:rFonts w:cs="Times New Roman"/>
          <w:sz w:val="24"/>
          <w:szCs w:val="24"/>
        </w:rPr>
        <w:t xml:space="preserve"> a minuscule</w:t>
      </w:r>
      <w:r w:rsidR="008B6F49" w:rsidRPr="00BB3D52">
        <w:rPr>
          <w:rFonts w:cs="Times New Roman"/>
          <w:sz w:val="24"/>
          <w:szCs w:val="24"/>
        </w:rPr>
        <w:t xml:space="preserve"> 0.6</w:t>
      </w:r>
      <w:r w:rsidR="00787ABF" w:rsidRPr="00BB3D52">
        <w:rPr>
          <w:rFonts w:cs="Times New Roman"/>
          <w:sz w:val="24"/>
          <w:szCs w:val="24"/>
        </w:rPr>
        <w:t>%.</w:t>
      </w:r>
      <w:r w:rsidR="0004597A">
        <w:rPr>
          <w:rFonts w:cs="Times New Roman"/>
          <w:sz w:val="24"/>
          <w:szCs w:val="24"/>
        </w:rPr>
        <w:t xml:space="preserve"> (</w:t>
      </w:r>
      <w:r w:rsidR="00392EA2">
        <w:rPr>
          <w:rFonts w:cs="Times New Roman"/>
          <w:sz w:val="24"/>
          <w:szCs w:val="24"/>
        </w:rPr>
        <w:t>Figure</w:t>
      </w:r>
      <w:r w:rsidR="0004597A">
        <w:rPr>
          <w:rFonts w:cs="Times New Roman"/>
          <w:sz w:val="24"/>
          <w:szCs w:val="24"/>
        </w:rPr>
        <w:t xml:space="preserve"> 4</w:t>
      </w:r>
      <w:r w:rsidR="00C40ECD" w:rsidRPr="00BB3D52">
        <w:rPr>
          <w:rFonts w:cs="Times New Roman"/>
          <w:sz w:val="24"/>
          <w:szCs w:val="24"/>
        </w:rPr>
        <w:t>)</w:t>
      </w:r>
      <w:r w:rsidR="0004597A" w:rsidRPr="0004597A">
        <w:rPr>
          <w:noProof/>
          <w:lang w:eastAsia="en-029"/>
        </w:rPr>
        <w:t xml:space="preserve"> </w:t>
      </w:r>
      <w:r w:rsidR="00C40ECD" w:rsidRPr="00BB3D52">
        <w:rPr>
          <w:rFonts w:cs="Times New Roman"/>
          <w:b/>
          <w:sz w:val="24"/>
          <w:szCs w:val="24"/>
        </w:rPr>
        <w:t xml:space="preserve"> </w:t>
      </w:r>
      <w:bookmarkStart w:id="40" w:name="_Toc522289577"/>
      <w:bookmarkStart w:id="41" w:name="_Toc947406"/>
      <w:bookmarkStart w:id="42" w:name="_Toc25229000"/>
    </w:p>
    <w:p w14:paraId="77685CFE" w14:textId="77777777" w:rsidR="00E016F3" w:rsidRPr="00BB3D52" w:rsidRDefault="00365B1B" w:rsidP="00E0795E">
      <w:pPr>
        <w:pStyle w:val="Heading2"/>
        <w:spacing w:line="360" w:lineRule="auto"/>
        <w:rPr>
          <w:rFonts w:cs="Times New Roman"/>
          <w:sz w:val="24"/>
          <w:szCs w:val="24"/>
        </w:rPr>
      </w:pPr>
      <w:bookmarkStart w:id="43" w:name="_Toc102558915"/>
      <w:r>
        <w:rPr>
          <w:noProof/>
          <w:lang w:val="en-US"/>
        </w:rPr>
        <w:drawing>
          <wp:anchor distT="0" distB="0" distL="114300" distR="114300" simplePos="0" relativeHeight="251659264" behindDoc="0" locked="0" layoutInCell="1" allowOverlap="1" wp14:anchorId="7B23E91E" wp14:editId="2BB319C3">
            <wp:simplePos x="0" y="0"/>
            <wp:positionH relativeFrom="margin">
              <wp:align>right</wp:align>
            </wp:positionH>
            <wp:positionV relativeFrom="paragraph">
              <wp:posOffset>358775</wp:posOffset>
            </wp:positionV>
            <wp:extent cx="3017520" cy="1737360"/>
            <wp:effectExtent l="0" t="0" r="0" b="0"/>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1F0670" w:rsidRPr="00BB3D52">
        <w:rPr>
          <w:rFonts w:cs="Times New Roman"/>
          <w:sz w:val="24"/>
          <w:szCs w:val="24"/>
        </w:rPr>
        <w:t>2.2 Domestic Debt by Instrument</w:t>
      </w:r>
      <w:bookmarkEnd w:id="40"/>
      <w:bookmarkEnd w:id="41"/>
      <w:bookmarkEnd w:id="42"/>
      <w:bookmarkEnd w:id="43"/>
    </w:p>
    <w:p w14:paraId="79C47D99" w14:textId="2E56227F" w:rsidR="00917B0B" w:rsidRPr="00BB3D52" w:rsidRDefault="00365B1B" w:rsidP="00E0795E">
      <w:pPr>
        <w:spacing w:line="360" w:lineRule="auto"/>
        <w:jc w:val="both"/>
        <w:rPr>
          <w:rFonts w:cs="Times New Roman"/>
          <w:noProof/>
          <w:sz w:val="24"/>
          <w:szCs w:val="24"/>
          <w:lang w:eastAsia="en-029"/>
        </w:rPr>
      </w:pPr>
      <w:r>
        <w:rPr>
          <w:noProof/>
          <w:lang w:val="en-US"/>
        </w:rPr>
        <mc:AlternateContent>
          <mc:Choice Requires="wps">
            <w:drawing>
              <wp:anchor distT="0" distB="0" distL="114300" distR="114300" simplePos="0" relativeHeight="251700224" behindDoc="0" locked="0" layoutInCell="1" allowOverlap="1" wp14:anchorId="10F01D0B" wp14:editId="6696E23F">
                <wp:simplePos x="0" y="0"/>
                <wp:positionH relativeFrom="margin">
                  <wp:posOffset>3181350</wp:posOffset>
                </wp:positionH>
                <wp:positionV relativeFrom="paragraph">
                  <wp:posOffset>154940</wp:posOffset>
                </wp:positionV>
                <wp:extent cx="2419350" cy="15240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2419350" cy="152400"/>
                        </a:xfrm>
                        <a:prstGeom prst="rect">
                          <a:avLst/>
                        </a:prstGeom>
                        <a:solidFill>
                          <a:prstClr val="white"/>
                        </a:solidFill>
                        <a:ln>
                          <a:noFill/>
                        </a:ln>
                        <a:effectLst/>
                      </wps:spPr>
                      <wps:txbx>
                        <w:txbxContent>
                          <w:p w14:paraId="539D65BC" w14:textId="77777777" w:rsidR="005C750A" w:rsidRPr="00701BD2" w:rsidRDefault="005C750A" w:rsidP="007976F6">
                            <w:pPr>
                              <w:rPr>
                                <w:noProof/>
                                <w:szCs w:val="32"/>
                              </w:rPr>
                            </w:pPr>
                            <w:bookmarkStart w:id="44" w:name="_Toc102559775"/>
                            <w:bookmarkStart w:id="45" w:name="_Toc102560673"/>
                            <w:r w:rsidRPr="00701BD2">
                              <w:t xml:space="preserve">Figure </w:t>
                            </w:r>
                            <w:r w:rsidR="002E1637">
                              <w:fldChar w:fldCharType="begin"/>
                            </w:r>
                            <w:r w:rsidR="002E1637">
                              <w:instrText xml:space="preserve"> SEQ Figure \* ARABIC </w:instrText>
                            </w:r>
                            <w:r w:rsidR="002E1637">
                              <w:fldChar w:fldCharType="separate"/>
                            </w:r>
                            <w:r>
                              <w:rPr>
                                <w:noProof/>
                              </w:rPr>
                              <w:t>5</w:t>
                            </w:r>
                            <w:r w:rsidR="002E1637">
                              <w:rPr>
                                <w:noProof/>
                              </w:rPr>
                              <w:fldChar w:fldCharType="end"/>
                            </w:r>
                            <w:r w:rsidRPr="00701BD2">
                              <w:t>: Domestic Debt by Instrument 2017-2021</w:t>
                            </w:r>
                            <w:bookmarkEnd w:id="44"/>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0F01D0B" id="Text Box 33" o:spid="_x0000_s1035" type="#_x0000_t202" style="position:absolute;left:0;text-align:left;margin-left:250.5pt;margin-top:12.2pt;width:190.5pt;height:12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" stroked="f">
                <v:textbox inset="0,0,0,0">
                  <w:txbxContent>
                    <w:p w14:paraId="539D65BC" w14:textId="77777777" w:rsidR="005C750A" w:rsidRPr="00701BD2" w:rsidRDefault="005C750A" w:rsidP="007976F6">
                      <w:pPr>
                        <w:rPr>
                          <w:noProof/>
                          <w:szCs w:val="32"/>
                        </w:rPr>
                      </w:pPr>
                      <w:bookmarkStart w:id="54" w:name="_Toc102559775"/>
                      <w:bookmarkStart w:id="55" w:name="_Toc102560673"/>
                      <w:r w:rsidRPr="00701BD2">
                        <w:t xml:space="preserve">Figure </w:t>
                      </w:r>
                      <w:fldSimple w:instr=" SEQ Figure \* ARABIC ">
                        <w:r>
                          <w:rPr>
                            <w:noProof/>
                          </w:rPr>
                          <w:t>5</w:t>
                        </w:r>
                      </w:fldSimple>
                      <w:r w:rsidRPr="00701BD2">
                        <w:t>: Domestic Debt by Instrument 2017-2021</w:t>
                      </w:r>
                      <w:bookmarkEnd w:id="54"/>
                      <w:bookmarkEnd w:id="55"/>
                    </w:p>
                  </w:txbxContent>
                </v:textbox>
                <w10:wrap type="square" anchorx="margin"/>
              </v:shape>
            </w:pict>
          </mc:Fallback>
        </mc:AlternateContent>
      </w:r>
      <w:r w:rsidR="007D4E13" w:rsidRPr="00BB3D52">
        <w:rPr>
          <w:rFonts w:cs="Times New Roman"/>
          <w:noProof/>
          <w:sz w:val="24"/>
          <w:szCs w:val="24"/>
          <w:lang w:eastAsia="en-029"/>
        </w:rPr>
        <w:t>At the end of 2021</w:t>
      </w:r>
      <w:r w:rsidR="001F0670" w:rsidRPr="00BB3D52">
        <w:rPr>
          <w:rFonts w:cs="Times New Roman"/>
          <w:noProof/>
          <w:sz w:val="24"/>
          <w:szCs w:val="24"/>
          <w:lang w:eastAsia="en-029"/>
        </w:rPr>
        <w:t xml:space="preserve">, </w:t>
      </w:r>
      <w:r w:rsidR="00066ED2" w:rsidRPr="00BB3D52">
        <w:rPr>
          <w:rFonts w:cs="Times New Roman"/>
          <w:noProof/>
          <w:sz w:val="24"/>
          <w:szCs w:val="24"/>
          <w:lang w:eastAsia="en-029"/>
        </w:rPr>
        <w:t xml:space="preserve">bonds and notes dominated the domestic debt portfolio with </w:t>
      </w:r>
      <w:r w:rsidR="00CE6F90" w:rsidRPr="00BB3D52">
        <w:rPr>
          <w:rFonts w:cs="Times New Roman"/>
          <w:noProof/>
          <w:sz w:val="24"/>
          <w:szCs w:val="24"/>
          <w:lang w:eastAsia="en-029"/>
        </w:rPr>
        <w:t>$1,374.21M</w:t>
      </w:r>
      <w:r w:rsidR="00066ED2" w:rsidRPr="00BB3D52">
        <w:rPr>
          <w:rFonts w:cs="Times New Roman"/>
          <w:noProof/>
          <w:sz w:val="24"/>
          <w:szCs w:val="24"/>
          <w:lang w:eastAsia="en-029"/>
        </w:rPr>
        <w:t xml:space="preserve"> or</w:t>
      </w:r>
      <w:r w:rsidR="00561DBB">
        <w:rPr>
          <w:rFonts w:cs="Times New Roman"/>
          <w:noProof/>
          <w:sz w:val="24"/>
          <w:szCs w:val="24"/>
          <w:lang w:eastAsia="en-029"/>
        </w:rPr>
        <w:t xml:space="preserve"> </w:t>
      </w:r>
      <w:r w:rsidR="00614727" w:rsidRPr="00BB3D52">
        <w:rPr>
          <w:rFonts w:cs="Times New Roman"/>
          <w:noProof/>
          <w:sz w:val="24"/>
          <w:szCs w:val="24"/>
          <w:lang w:eastAsia="en-029"/>
        </w:rPr>
        <w:t>74.5</w:t>
      </w:r>
      <w:r w:rsidR="00066ED2" w:rsidRPr="00BB3D52">
        <w:rPr>
          <w:rFonts w:cs="Times New Roman"/>
          <w:noProof/>
          <w:sz w:val="24"/>
          <w:szCs w:val="24"/>
          <w:lang w:eastAsia="en-029"/>
        </w:rPr>
        <w:t xml:space="preserve">% </w:t>
      </w:r>
      <w:r w:rsidR="001F0670" w:rsidRPr="00BB3D52">
        <w:rPr>
          <w:rFonts w:cs="Times New Roman"/>
          <w:noProof/>
          <w:sz w:val="24"/>
          <w:szCs w:val="24"/>
          <w:lang w:eastAsia="en-029"/>
        </w:rPr>
        <w:t xml:space="preserve"> increasi</w:t>
      </w:r>
      <w:r w:rsidR="007D4E13" w:rsidRPr="00BB3D52">
        <w:rPr>
          <w:rFonts w:cs="Times New Roman"/>
          <w:noProof/>
          <w:sz w:val="24"/>
          <w:szCs w:val="24"/>
          <w:lang w:eastAsia="en-029"/>
        </w:rPr>
        <w:t>ng by $35.47M or 2.6% over 2020</w:t>
      </w:r>
      <w:r w:rsidR="00561DBB">
        <w:rPr>
          <w:rFonts w:cs="Times New Roman"/>
          <w:noProof/>
          <w:sz w:val="24"/>
          <w:szCs w:val="24"/>
          <w:lang w:eastAsia="en-029"/>
        </w:rPr>
        <w:t>. This was</w:t>
      </w:r>
      <w:r w:rsidR="00315531" w:rsidRPr="00BB3D52">
        <w:rPr>
          <w:rFonts w:cs="Times New Roman"/>
          <w:noProof/>
          <w:color w:val="FF0000"/>
          <w:sz w:val="24"/>
          <w:szCs w:val="24"/>
          <w:lang w:eastAsia="en-029"/>
        </w:rPr>
        <w:t xml:space="preserve"> </w:t>
      </w:r>
      <w:r w:rsidR="00315531" w:rsidRPr="00BB3D52">
        <w:rPr>
          <w:rFonts w:cs="Times New Roman"/>
          <w:noProof/>
          <w:sz w:val="24"/>
          <w:szCs w:val="24"/>
          <w:lang w:eastAsia="en-029"/>
        </w:rPr>
        <w:t>due to</w:t>
      </w:r>
      <w:r w:rsidR="00315531" w:rsidRPr="00BB3D52">
        <w:rPr>
          <w:rFonts w:cs="Times New Roman"/>
          <w:sz w:val="24"/>
          <w:szCs w:val="24"/>
        </w:rPr>
        <w:t xml:space="preserve"> </w:t>
      </w:r>
      <w:r w:rsidR="00315531" w:rsidRPr="00BB3D52">
        <w:rPr>
          <w:rFonts w:cs="Times New Roman"/>
          <w:noProof/>
          <w:sz w:val="24"/>
          <w:szCs w:val="24"/>
          <w:lang w:eastAsia="en-029"/>
        </w:rPr>
        <w:t>domestic investors continuing to favor medium-term securities</w:t>
      </w:r>
      <w:r w:rsidR="001F0670" w:rsidRPr="00BB3D52">
        <w:rPr>
          <w:rFonts w:cs="Times New Roman"/>
          <w:noProof/>
          <w:sz w:val="24"/>
          <w:szCs w:val="24"/>
          <w:lang w:eastAsia="en-029"/>
        </w:rPr>
        <w:t>.</w:t>
      </w:r>
      <w:r w:rsidR="001F0670" w:rsidRPr="00BB3D52">
        <w:rPr>
          <w:rFonts w:cs="Times New Roman"/>
          <w:noProof/>
          <w:color w:val="FF0000"/>
          <w:sz w:val="24"/>
          <w:szCs w:val="24"/>
          <w:lang w:eastAsia="en-029"/>
        </w:rPr>
        <w:t xml:space="preserve"> </w:t>
      </w:r>
      <w:r w:rsidR="001F0670" w:rsidRPr="00BB3D52">
        <w:rPr>
          <w:rFonts w:cs="Times New Roman"/>
          <w:noProof/>
          <w:sz w:val="24"/>
          <w:szCs w:val="24"/>
          <w:lang w:eastAsia="en-029"/>
        </w:rPr>
        <w:t xml:space="preserve">Domestic Treasury bills </w:t>
      </w:r>
      <w:r w:rsidR="007D4E13" w:rsidRPr="00BB3D52">
        <w:rPr>
          <w:rFonts w:cs="Times New Roman"/>
          <w:noProof/>
          <w:sz w:val="24"/>
          <w:szCs w:val="24"/>
          <w:lang w:eastAsia="en-029"/>
        </w:rPr>
        <w:t>decreased by $3.70M or 3.1% over 2020</w:t>
      </w:r>
      <w:r w:rsidR="00315531" w:rsidRPr="00BB3D52">
        <w:rPr>
          <w:rFonts w:cs="Times New Roman"/>
          <w:noProof/>
          <w:sz w:val="24"/>
          <w:szCs w:val="24"/>
          <w:lang w:eastAsia="en-029"/>
        </w:rPr>
        <w:t xml:space="preserve"> to </w:t>
      </w:r>
      <w:r w:rsidR="001F0670" w:rsidRPr="00BB3D52">
        <w:rPr>
          <w:rFonts w:cs="Times New Roman"/>
          <w:noProof/>
          <w:sz w:val="24"/>
          <w:szCs w:val="24"/>
          <w:lang w:eastAsia="en-029"/>
        </w:rPr>
        <w:t>st</w:t>
      </w:r>
      <w:r w:rsidR="00CE6F90" w:rsidRPr="00BB3D52">
        <w:rPr>
          <w:rFonts w:cs="Times New Roman"/>
          <w:noProof/>
          <w:sz w:val="24"/>
          <w:szCs w:val="24"/>
          <w:lang w:eastAsia="en-029"/>
        </w:rPr>
        <w:t>and at $116.8</w:t>
      </w:r>
      <w:r w:rsidR="001F0670" w:rsidRPr="00BB3D52">
        <w:rPr>
          <w:rFonts w:cs="Times New Roman"/>
          <w:noProof/>
          <w:sz w:val="24"/>
          <w:szCs w:val="24"/>
          <w:lang w:eastAsia="en-029"/>
        </w:rPr>
        <w:t>M</w:t>
      </w:r>
      <w:r w:rsidR="00CE6F90" w:rsidRPr="00BB3D52">
        <w:rPr>
          <w:rFonts w:cs="Times New Roman"/>
          <w:noProof/>
          <w:sz w:val="24"/>
          <w:szCs w:val="24"/>
          <w:lang w:eastAsia="en-029"/>
        </w:rPr>
        <w:t xml:space="preserve"> at the end of 2021</w:t>
      </w:r>
      <w:r w:rsidR="00315531" w:rsidRPr="0018735F">
        <w:rPr>
          <w:rFonts w:cs="Times New Roman"/>
          <w:noProof/>
          <w:sz w:val="24"/>
          <w:szCs w:val="24"/>
          <w:lang w:eastAsia="en-029"/>
        </w:rPr>
        <w:t>.</w:t>
      </w:r>
      <w:r w:rsidR="001F0670" w:rsidRPr="0018735F">
        <w:rPr>
          <w:rFonts w:cs="Times New Roman"/>
          <w:noProof/>
          <w:color w:val="FF0000"/>
          <w:sz w:val="24"/>
          <w:szCs w:val="24"/>
          <w:lang w:eastAsia="en-029"/>
        </w:rPr>
        <w:t xml:space="preserve"> </w:t>
      </w:r>
      <w:r w:rsidR="001F0670" w:rsidRPr="0018735F">
        <w:rPr>
          <w:rFonts w:cs="Times New Roman"/>
          <w:noProof/>
          <w:sz w:val="24"/>
          <w:szCs w:val="24"/>
          <w:lang w:eastAsia="en-029"/>
        </w:rPr>
        <w:t>The domestic loans portfoli</w:t>
      </w:r>
      <w:r w:rsidR="0050691E" w:rsidRPr="0018735F">
        <w:rPr>
          <w:rFonts w:cs="Times New Roman"/>
          <w:noProof/>
          <w:sz w:val="24"/>
          <w:szCs w:val="24"/>
          <w:lang w:eastAsia="en-029"/>
        </w:rPr>
        <w:t xml:space="preserve">o at the </w:t>
      </w:r>
      <w:r w:rsidR="00614727" w:rsidRPr="0018735F">
        <w:rPr>
          <w:rFonts w:cs="Times New Roman"/>
          <w:noProof/>
          <w:sz w:val="24"/>
          <w:szCs w:val="24"/>
          <w:lang w:eastAsia="en-029"/>
        </w:rPr>
        <w:t>end of 2021 was $354.13</w:t>
      </w:r>
      <w:r w:rsidR="00CE6924" w:rsidRPr="0018735F">
        <w:rPr>
          <w:rFonts w:cs="Times New Roman"/>
          <w:noProof/>
          <w:sz w:val="24"/>
          <w:szCs w:val="24"/>
          <w:lang w:eastAsia="en-029"/>
        </w:rPr>
        <w:t xml:space="preserve">M, decreasing </w:t>
      </w:r>
      <w:r w:rsidR="001F0670" w:rsidRPr="0018735F">
        <w:rPr>
          <w:rFonts w:cs="Times New Roman"/>
          <w:noProof/>
          <w:sz w:val="24"/>
          <w:szCs w:val="24"/>
          <w:lang w:eastAsia="en-029"/>
        </w:rPr>
        <w:t>by</w:t>
      </w:r>
      <w:r w:rsidR="00CB27AE" w:rsidRPr="0018735F">
        <w:rPr>
          <w:rFonts w:cs="Times New Roman"/>
          <w:noProof/>
          <w:sz w:val="24"/>
          <w:szCs w:val="24"/>
          <w:lang w:eastAsia="en-029"/>
        </w:rPr>
        <w:t xml:space="preserve">  12.5</w:t>
      </w:r>
      <w:r w:rsidR="001F0670" w:rsidRPr="0018735F">
        <w:rPr>
          <w:rFonts w:cs="Times New Roman"/>
          <w:noProof/>
          <w:sz w:val="24"/>
          <w:szCs w:val="24"/>
          <w:lang w:eastAsia="en-029"/>
        </w:rPr>
        <w:t>% ove</w:t>
      </w:r>
      <w:r w:rsidR="00CE6924" w:rsidRPr="0018735F">
        <w:rPr>
          <w:rFonts w:cs="Times New Roman"/>
          <w:noProof/>
          <w:sz w:val="24"/>
          <w:szCs w:val="24"/>
          <w:lang w:eastAsia="en-029"/>
        </w:rPr>
        <w:t>r 2020</w:t>
      </w:r>
      <w:r w:rsidR="001F0670" w:rsidRPr="0018735F">
        <w:rPr>
          <w:rFonts w:cs="Times New Roman"/>
          <w:noProof/>
          <w:sz w:val="24"/>
          <w:szCs w:val="24"/>
          <w:lang w:eastAsia="en-029"/>
        </w:rPr>
        <w:t xml:space="preserve"> due to continued debt repayment.</w:t>
      </w:r>
      <w:r w:rsidR="001F0670" w:rsidRPr="00BB3D52">
        <w:rPr>
          <w:rFonts w:cs="Times New Roman"/>
          <w:noProof/>
          <w:sz w:val="24"/>
          <w:szCs w:val="24"/>
          <w:lang w:eastAsia="en-029"/>
        </w:rPr>
        <w:t xml:space="preserve"> The G</w:t>
      </w:r>
      <w:r w:rsidR="00DD5C0B">
        <w:rPr>
          <w:rFonts w:cs="Times New Roman"/>
          <w:noProof/>
          <w:sz w:val="24"/>
          <w:szCs w:val="24"/>
          <w:lang w:eastAsia="en-029"/>
        </w:rPr>
        <w:t>O</w:t>
      </w:r>
      <w:r w:rsidR="001F0670" w:rsidRPr="00BB3D52">
        <w:rPr>
          <w:rFonts w:cs="Times New Roman"/>
          <w:noProof/>
          <w:sz w:val="24"/>
          <w:szCs w:val="24"/>
          <w:lang w:eastAsia="en-029"/>
        </w:rPr>
        <w:t>SL contract</w:t>
      </w:r>
      <w:r w:rsidR="00066ED2" w:rsidRPr="00BB3D52">
        <w:rPr>
          <w:rFonts w:cs="Times New Roman"/>
          <w:noProof/>
          <w:sz w:val="24"/>
          <w:szCs w:val="24"/>
          <w:lang w:eastAsia="en-029"/>
        </w:rPr>
        <w:t>ed no new domestic loans in 2021</w:t>
      </w:r>
      <w:r w:rsidR="001F0670" w:rsidRPr="00BB3D52">
        <w:rPr>
          <w:rFonts w:cs="Times New Roman"/>
          <w:noProof/>
          <w:sz w:val="24"/>
          <w:szCs w:val="24"/>
          <w:lang w:eastAsia="en-029"/>
        </w:rPr>
        <w:t>. All the instruments in the domestic debt portfolio are on a fixed interest rate basis</w:t>
      </w:r>
      <w:r w:rsidR="00DA121F">
        <w:rPr>
          <w:rFonts w:cs="Times New Roman"/>
          <w:noProof/>
          <w:sz w:val="24"/>
          <w:szCs w:val="24"/>
          <w:lang w:eastAsia="en-029"/>
        </w:rPr>
        <w:t xml:space="preserve">. </w:t>
      </w:r>
      <w:r w:rsidR="0004597A">
        <w:rPr>
          <w:rFonts w:cs="Times New Roman"/>
          <w:noProof/>
          <w:sz w:val="24"/>
          <w:szCs w:val="24"/>
          <w:lang w:eastAsia="en-029"/>
        </w:rPr>
        <w:t xml:space="preserve"> (</w:t>
      </w:r>
      <w:r w:rsidR="00392EA2">
        <w:rPr>
          <w:rFonts w:cs="Times New Roman"/>
          <w:noProof/>
          <w:sz w:val="24"/>
          <w:szCs w:val="24"/>
          <w:lang w:eastAsia="en-029"/>
        </w:rPr>
        <w:t>Figure</w:t>
      </w:r>
      <w:r w:rsidR="0004597A">
        <w:rPr>
          <w:rFonts w:cs="Times New Roman"/>
          <w:noProof/>
          <w:sz w:val="24"/>
          <w:szCs w:val="24"/>
          <w:lang w:eastAsia="en-029"/>
        </w:rPr>
        <w:t xml:space="preserve"> 5</w:t>
      </w:r>
      <w:r w:rsidR="004D12C6" w:rsidRPr="00BB3D52">
        <w:rPr>
          <w:rFonts w:cs="Times New Roman"/>
          <w:noProof/>
          <w:sz w:val="24"/>
          <w:szCs w:val="24"/>
          <w:lang w:eastAsia="en-029"/>
        </w:rPr>
        <w:t>)</w:t>
      </w:r>
      <w:r w:rsidR="0004597A" w:rsidRPr="0004597A">
        <w:rPr>
          <w:noProof/>
          <w:lang w:eastAsia="en-029"/>
        </w:rPr>
        <w:t xml:space="preserve"> </w:t>
      </w:r>
    </w:p>
    <w:p w14:paraId="02134435" w14:textId="77777777" w:rsidR="0004597A" w:rsidRPr="00BB3D52" w:rsidRDefault="0004597A" w:rsidP="00E0795E">
      <w:pPr>
        <w:spacing w:line="360" w:lineRule="auto"/>
        <w:jc w:val="both"/>
        <w:rPr>
          <w:rFonts w:cs="Times New Roman"/>
          <w:noProof/>
          <w:sz w:val="24"/>
          <w:szCs w:val="24"/>
          <w:lang w:eastAsia="en-029"/>
        </w:rPr>
      </w:pPr>
    </w:p>
    <w:p w14:paraId="382C4ED7" w14:textId="77777777" w:rsidR="00E46465" w:rsidRPr="00BB3D52" w:rsidRDefault="00365B1B" w:rsidP="00E0795E">
      <w:pPr>
        <w:pStyle w:val="Heading2"/>
        <w:spacing w:line="360" w:lineRule="auto"/>
        <w:rPr>
          <w:rFonts w:cs="Times New Roman"/>
          <w:sz w:val="24"/>
          <w:szCs w:val="24"/>
        </w:rPr>
      </w:pPr>
      <w:bookmarkStart w:id="46" w:name="_Toc102558916"/>
      <w:r>
        <w:rPr>
          <w:noProof/>
          <w:lang w:val="en-US"/>
        </w:rPr>
        <w:drawing>
          <wp:anchor distT="0" distB="0" distL="114300" distR="114300" simplePos="0" relativeHeight="251660288" behindDoc="0" locked="0" layoutInCell="1" allowOverlap="1" wp14:anchorId="45726E04" wp14:editId="51F37534">
            <wp:simplePos x="0" y="0"/>
            <wp:positionH relativeFrom="margin">
              <wp:align>right</wp:align>
            </wp:positionH>
            <wp:positionV relativeFrom="paragraph">
              <wp:posOffset>239395</wp:posOffset>
            </wp:positionV>
            <wp:extent cx="3291840" cy="2011680"/>
            <wp:effectExtent l="0" t="0" r="3810" b="0"/>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1F0670" w:rsidRPr="00BB3D52">
        <w:rPr>
          <w:rFonts w:cs="Times New Roman"/>
          <w:sz w:val="24"/>
          <w:szCs w:val="24"/>
        </w:rPr>
        <w:t>2</w:t>
      </w:r>
      <w:r w:rsidR="007B56E6" w:rsidRPr="00BB3D52">
        <w:rPr>
          <w:rFonts w:cs="Times New Roman"/>
          <w:sz w:val="24"/>
          <w:szCs w:val="24"/>
        </w:rPr>
        <w:t>.3</w:t>
      </w:r>
      <w:r w:rsidR="001F0670" w:rsidRPr="00BB3D52">
        <w:rPr>
          <w:rFonts w:cs="Times New Roman"/>
          <w:sz w:val="24"/>
          <w:szCs w:val="24"/>
        </w:rPr>
        <w:t xml:space="preserve"> Domestic Debt by Creditor Category</w:t>
      </w:r>
      <w:bookmarkEnd w:id="34"/>
      <w:bookmarkEnd w:id="35"/>
      <w:bookmarkEnd w:id="36"/>
      <w:bookmarkEnd w:id="46"/>
    </w:p>
    <w:bookmarkStart w:id="47" w:name="_Toc530556144"/>
    <w:p w14:paraId="16D960AE" w14:textId="5F4C1AA4" w:rsidR="0004597A" w:rsidRPr="00615779" w:rsidRDefault="00365B1B" w:rsidP="00E0795E">
      <w:pPr>
        <w:spacing w:line="360" w:lineRule="auto"/>
        <w:jc w:val="both"/>
        <w:rPr>
          <w:rFonts w:cs="Times New Roman"/>
          <w:sz w:val="24"/>
          <w:szCs w:val="24"/>
        </w:rPr>
      </w:pPr>
      <w:r>
        <w:rPr>
          <w:noProof/>
          <w:lang w:val="en-US"/>
        </w:rPr>
        <mc:AlternateContent>
          <mc:Choice Requires="wps">
            <w:drawing>
              <wp:anchor distT="0" distB="0" distL="114300" distR="114300" simplePos="0" relativeHeight="251702272" behindDoc="0" locked="0" layoutInCell="1" allowOverlap="1" wp14:anchorId="03E43F5C" wp14:editId="665F5C60">
                <wp:simplePos x="0" y="0"/>
                <wp:positionH relativeFrom="margin">
                  <wp:posOffset>2709545</wp:posOffset>
                </wp:positionH>
                <wp:positionV relativeFrom="paragraph">
                  <wp:posOffset>8255</wp:posOffset>
                </wp:positionV>
                <wp:extent cx="2146300" cy="123825"/>
                <wp:effectExtent l="0" t="0" r="6350" b="9525"/>
                <wp:wrapSquare wrapText="bothSides"/>
                <wp:docPr id="34" name="Text Box 34"/>
                <wp:cNvGraphicFramePr/>
                <a:graphic xmlns:a="http://schemas.openxmlformats.org/drawingml/2006/main">
                  <a:graphicData uri="http://schemas.microsoft.com/office/word/2010/wordprocessingShape">
                    <wps:wsp>
                      <wps:cNvSpPr txBox="1"/>
                      <wps:spPr>
                        <a:xfrm>
                          <a:off x="0" y="0"/>
                          <a:ext cx="2146300" cy="123825"/>
                        </a:xfrm>
                        <a:prstGeom prst="rect">
                          <a:avLst/>
                        </a:prstGeom>
                        <a:solidFill>
                          <a:prstClr val="white"/>
                        </a:solidFill>
                        <a:ln>
                          <a:noFill/>
                        </a:ln>
                        <a:effectLst/>
                      </wps:spPr>
                      <wps:txbx>
                        <w:txbxContent>
                          <w:p w14:paraId="471093B8" w14:textId="77777777" w:rsidR="005C750A" w:rsidRPr="008552B7" w:rsidRDefault="005C750A" w:rsidP="007976F6">
                            <w:pPr>
                              <w:rPr>
                                <w:noProof/>
                                <w:szCs w:val="32"/>
                              </w:rPr>
                            </w:pPr>
                            <w:bookmarkStart w:id="48" w:name="_Toc102559776"/>
                            <w:bookmarkStart w:id="49" w:name="_Toc102560674"/>
                            <w:r w:rsidRPr="008552B7">
                              <w:t xml:space="preserve">Figure </w:t>
                            </w:r>
                            <w:r w:rsidR="002E1637">
                              <w:fldChar w:fldCharType="begin"/>
                            </w:r>
                            <w:r w:rsidR="002E1637">
                              <w:instrText xml:space="preserve"> SEQ Figure \* ARABIC </w:instrText>
                            </w:r>
                            <w:r w:rsidR="002E1637">
                              <w:fldChar w:fldCharType="separate"/>
                            </w:r>
                            <w:r>
                              <w:rPr>
                                <w:noProof/>
                              </w:rPr>
                              <w:t>6</w:t>
                            </w:r>
                            <w:r w:rsidR="002E1637">
                              <w:rPr>
                                <w:noProof/>
                              </w:rPr>
                              <w:fldChar w:fldCharType="end"/>
                            </w:r>
                            <w:r w:rsidRPr="008552B7">
                              <w:t>: Domestic Debt by Creditor Category 2021</w:t>
                            </w:r>
                            <w:bookmarkEnd w:id="48"/>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3E43F5C" id="Text Box 34" o:spid="_x0000_s1036" type="#_x0000_t202" style="position:absolute;left:0;text-align:left;margin-left:213.35pt;margin-top:.65pt;width:169pt;height:9.7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" stroked="f">
                <v:textbox inset="0,0,0,0">
                  <w:txbxContent>
                    <w:p w14:paraId="471093B8" w14:textId="77777777" w:rsidR="005C750A" w:rsidRPr="008552B7" w:rsidRDefault="005C750A" w:rsidP="007976F6">
                      <w:pPr>
                        <w:rPr>
                          <w:noProof/>
                          <w:szCs w:val="32"/>
                        </w:rPr>
                      </w:pPr>
                      <w:bookmarkStart w:id="60" w:name="_Toc102559776"/>
                      <w:bookmarkStart w:id="61" w:name="_Toc102560674"/>
                      <w:r w:rsidRPr="008552B7">
                        <w:t xml:space="preserve">Figure </w:t>
                      </w:r>
                      <w:fldSimple w:instr=" SEQ Figure \* ARABIC ">
                        <w:r>
                          <w:rPr>
                            <w:noProof/>
                          </w:rPr>
                          <w:t>6</w:t>
                        </w:r>
                      </w:fldSimple>
                      <w:r w:rsidRPr="008552B7">
                        <w:t>: Domestic Debt by Creditor Category 2021</w:t>
                      </w:r>
                      <w:bookmarkEnd w:id="60"/>
                      <w:bookmarkEnd w:id="61"/>
                    </w:p>
                  </w:txbxContent>
                </v:textbox>
                <w10:wrap type="square" anchorx="margin"/>
              </v:shape>
            </w:pict>
          </mc:Fallback>
        </mc:AlternateContent>
      </w:r>
      <w:r w:rsidR="00C40ECD" w:rsidRPr="00BB3D52">
        <w:rPr>
          <w:rFonts w:cs="Times New Roman"/>
          <w:sz w:val="24"/>
          <w:szCs w:val="24"/>
        </w:rPr>
        <w:t xml:space="preserve">Social Security (NIC) </w:t>
      </w:r>
      <w:r w:rsidR="00260ECF" w:rsidRPr="00BB3D52">
        <w:rPr>
          <w:rFonts w:cs="Times New Roman"/>
          <w:sz w:val="24"/>
          <w:szCs w:val="24"/>
        </w:rPr>
        <w:t>($558.75</w:t>
      </w:r>
      <w:r w:rsidR="007525C2" w:rsidRPr="00BB3D52">
        <w:rPr>
          <w:rFonts w:cs="Times New Roman"/>
          <w:sz w:val="24"/>
          <w:szCs w:val="24"/>
        </w:rPr>
        <w:t>M</w:t>
      </w:r>
      <w:r w:rsidR="00B90BAE">
        <w:rPr>
          <w:rFonts w:cs="Times New Roman"/>
          <w:sz w:val="24"/>
          <w:szCs w:val="24"/>
        </w:rPr>
        <w:t xml:space="preserve"> or 30.5%</w:t>
      </w:r>
      <w:r w:rsidR="007525C2" w:rsidRPr="00BB3D52">
        <w:rPr>
          <w:rFonts w:cs="Times New Roman"/>
          <w:sz w:val="24"/>
          <w:szCs w:val="24"/>
        </w:rPr>
        <w:t>) and Commercial Banks ($506.21</w:t>
      </w:r>
      <w:r w:rsidR="00C40ECD" w:rsidRPr="00BB3D52">
        <w:rPr>
          <w:rFonts w:cs="Times New Roman"/>
          <w:sz w:val="24"/>
          <w:szCs w:val="24"/>
        </w:rPr>
        <w:t>M</w:t>
      </w:r>
      <w:r w:rsidR="00B90BAE">
        <w:rPr>
          <w:rFonts w:cs="Times New Roman"/>
          <w:sz w:val="24"/>
          <w:szCs w:val="24"/>
        </w:rPr>
        <w:t xml:space="preserve"> or 27.6%</w:t>
      </w:r>
      <w:r w:rsidR="00C40ECD" w:rsidRPr="00BB3D52">
        <w:rPr>
          <w:rFonts w:cs="Times New Roman"/>
          <w:sz w:val="24"/>
          <w:szCs w:val="24"/>
        </w:rPr>
        <w:t>)</w:t>
      </w:r>
      <w:r w:rsidR="00260ECF" w:rsidRPr="00BB3D52">
        <w:rPr>
          <w:rFonts w:cs="Times New Roman"/>
          <w:sz w:val="24"/>
          <w:szCs w:val="24"/>
        </w:rPr>
        <w:t xml:space="preserve"> </w:t>
      </w:r>
      <w:r w:rsidR="00C40ECD" w:rsidRPr="00BB3D52">
        <w:rPr>
          <w:rFonts w:cs="Times New Roman"/>
          <w:sz w:val="24"/>
          <w:szCs w:val="24"/>
        </w:rPr>
        <w:t>were the leading domestic se</w:t>
      </w:r>
      <w:r w:rsidR="00260ECF" w:rsidRPr="00BB3D52">
        <w:rPr>
          <w:rFonts w:cs="Times New Roman"/>
          <w:sz w:val="24"/>
          <w:szCs w:val="24"/>
        </w:rPr>
        <w:t>curity and loan holders in 2021</w:t>
      </w:r>
      <w:r w:rsidR="00C40ECD" w:rsidRPr="00BB3D52">
        <w:rPr>
          <w:rFonts w:cs="Times New Roman"/>
          <w:sz w:val="24"/>
          <w:szCs w:val="24"/>
        </w:rPr>
        <w:t>. Other significant creditor categories included Ot</w:t>
      </w:r>
      <w:r w:rsidR="00260ECF" w:rsidRPr="00BB3D52">
        <w:rPr>
          <w:rFonts w:cs="Times New Roman"/>
          <w:sz w:val="24"/>
          <w:szCs w:val="24"/>
        </w:rPr>
        <w:t>her Financial Corporations ($361.54M</w:t>
      </w:r>
      <w:r w:rsidR="00B90BAE">
        <w:rPr>
          <w:rFonts w:cs="Times New Roman"/>
          <w:sz w:val="24"/>
          <w:szCs w:val="24"/>
        </w:rPr>
        <w:t xml:space="preserve"> or 19.7%</w:t>
      </w:r>
      <w:r w:rsidR="00260ECF" w:rsidRPr="00BB3D52">
        <w:rPr>
          <w:rFonts w:cs="Times New Roman"/>
          <w:sz w:val="24"/>
          <w:szCs w:val="24"/>
        </w:rPr>
        <w:t>), Insurance Funds ($182.53</w:t>
      </w:r>
      <w:r w:rsidR="00C40ECD" w:rsidRPr="00BB3D52">
        <w:rPr>
          <w:rFonts w:cs="Times New Roman"/>
          <w:sz w:val="24"/>
          <w:szCs w:val="24"/>
        </w:rPr>
        <w:t>M</w:t>
      </w:r>
      <w:r w:rsidR="00B90BAE">
        <w:rPr>
          <w:rFonts w:cs="Times New Roman"/>
          <w:sz w:val="24"/>
          <w:szCs w:val="24"/>
        </w:rPr>
        <w:t xml:space="preserve"> or 10.0%</w:t>
      </w:r>
      <w:r w:rsidR="00C40ECD" w:rsidRPr="00BB3D52">
        <w:rPr>
          <w:rFonts w:cs="Times New Roman"/>
          <w:sz w:val="24"/>
          <w:szCs w:val="24"/>
        </w:rPr>
        <w:t xml:space="preserve">), </w:t>
      </w:r>
      <w:r w:rsidR="00260ECF" w:rsidRPr="00BB3D52">
        <w:rPr>
          <w:rFonts w:cs="Times New Roman"/>
          <w:sz w:val="24"/>
          <w:szCs w:val="24"/>
        </w:rPr>
        <w:t>and Private Individuals ($115.09</w:t>
      </w:r>
      <w:r w:rsidR="00C40ECD" w:rsidRPr="00BB3D52">
        <w:rPr>
          <w:rFonts w:cs="Times New Roman"/>
          <w:sz w:val="24"/>
          <w:szCs w:val="24"/>
        </w:rPr>
        <w:t>M</w:t>
      </w:r>
      <w:r w:rsidR="00B90BAE">
        <w:rPr>
          <w:rFonts w:cs="Times New Roman"/>
          <w:sz w:val="24"/>
          <w:szCs w:val="24"/>
        </w:rPr>
        <w:t xml:space="preserve"> or 6.3%</w:t>
      </w:r>
      <w:r w:rsidR="00C40ECD" w:rsidRPr="00BB3D52">
        <w:rPr>
          <w:rFonts w:cs="Times New Roman"/>
          <w:sz w:val="24"/>
          <w:szCs w:val="24"/>
        </w:rPr>
        <w:t>)</w:t>
      </w:r>
      <w:r w:rsidR="00433ECF" w:rsidRPr="00BB3D52">
        <w:rPr>
          <w:rFonts w:cs="Times New Roman"/>
          <w:sz w:val="24"/>
          <w:szCs w:val="24"/>
        </w:rPr>
        <w:t>.</w:t>
      </w:r>
      <w:r w:rsidR="00955D3F" w:rsidRPr="00BB3D52">
        <w:rPr>
          <w:rFonts w:cs="Times New Roman"/>
          <w:sz w:val="24"/>
          <w:szCs w:val="24"/>
        </w:rPr>
        <w:t xml:space="preserve"> </w:t>
      </w:r>
      <w:r w:rsidR="00B5308B" w:rsidRPr="00BB3D52">
        <w:rPr>
          <w:rFonts w:cs="Times New Roman"/>
          <w:sz w:val="24"/>
          <w:szCs w:val="24"/>
        </w:rPr>
        <w:t>(</w:t>
      </w:r>
      <w:r w:rsidR="00392EA2">
        <w:rPr>
          <w:rFonts w:cs="Times New Roman"/>
          <w:sz w:val="24"/>
          <w:szCs w:val="24"/>
        </w:rPr>
        <w:t>Figure</w:t>
      </w:r>
      <w:r w:rsidR="0004597A">
        <w:rPr>
          <w:rFonts w:cs="Times New Roman"/>
          <w:sz w:val="24"/>
          <w:szCs w:val="24"/>
        </w:rPr>
        <w:t xml:space="preserve"> 6</w:t>
      </w:r>
      <w:r w:rsidR="00E46465" w:rsidRPr="00BB3D52">
        <w:rPr>
          <w:rFonts w:cs="Times New Roman"/>
          <w:sz w:val="24"/>
          <w:szCs w:val="24"/>
        </w:rPr>
        <w:t>)</w:t>
      </w:r>
      <w:bookmarkStart w:id="50" w:name="_Toc519842263"/>
      <w:bookmarkStart w:id="51" w:name="_Toc522289569"/>
      <w:bookmarkStart w:id="52" w:name="_Toc947398"/>
      <w:bookmarkStart w:id="53" w:name="_Toc25228993"/>
      <w:bookmarkStart w:id="54" w:name="_Toc25228991"/>
      <w:bookmarkStart w:id="55" w:name="_Toc522289568"/>
      <w:bookmarkEnd w:id="31"/>
      <w:bookmarkEnd w:id="32"/>
      <w:bookmarkEnd w:id="33"/>
      <w:bookmarkEnd w:id="47"/>
      <w:r w:rsidR="0004597A" w:rsidRPr="0004597A">
        <w:rPr>
          <w:noProof/>
          <w:lang w:eastAsia="en-029"/>
        </w:rPr>
        <w:t xml:space="preserve"> </w:t>
      </w:r>
    </w:p>
    <w:p w14:paraId="2C5EC423" w14:textId="77777777" w:rsidR="00165B97" w:rsidRPr="00BB3D52" w:rsidRDefault="00365B1B" w:rsidP="00E0795E">
      <w:pPr>
        <w:pStyle w:val="Heading1"/>
        <w:spacing w:line="360" w:lineRule="auto"/>
        <w:rPr>
          <w:rFonts w:cs="Times New Roman"/>
          <w:sz w:val="24"/>
          <w:szCs w:val="24"/>
        </w:rPr>
      </w:pPr>
      <w:bookmarkStart w:id="56" w:name="_Toc102558917"/>
      <w:r w:rsidRPr="00BB3D52">
        <w:rPr>
          <w:rFonts w:cs="Times New Roman"/>
          <w:sz w:val="24"/>
          <w:szCs w:val="24"/>
        </w:rPr>
        <w:t>3. Total Public External Debt</w:t>
      </w:r>
      <w:bookmarkStart w:id="57" w:name="_Toc522289570"/>
      <w:bookmarkStart w:id="58" w:name="_Toc947399"/>
      <w:bookmarkStart w:id="59" w:name="_Toc25228994"/>
      <w:bookmarkEnd w:id="50"/>
      <w:bookmarkEnd w:id="51"/>
      <w:bookmarkEnd w:id="52"/>
      <w:bookmarkEnd w:id="53"/>
      <w:bookmarkEnd w:id="56"/>
    </w:p>
    <w:p w14:paraId="4A972CC9" w14:textId="77777777" w:rsidR="007B56E6" w:rsidRPr="00BB3D52" w:rsidRDefault="00365B1B" w:rsidP="00E0795E">
      <w:pPr>
        <w:pStyle w:val="Heading2"/>
        <w:spacing w:line="360" w:lineRule="auto"/>
        <w:rPr>
          <w:rFonts w:cs="Times New Roman"/>
          <w:sz w:val="24"/>
          <w:szCs w:val="24"/>
        </w:rPr>
      </w:pPr>
      <w:bookmarkStart w:id="60" w:name="_Toc102558918"/>
      <w:r w:rsidRPr="00BB3D52">
        <w:rPr>
          <w:rFonts w:cs="Times New Roman"/>
          <w:sz w:val="24"/>
          <w:szCs w:val="24"/>
        </w:rPr>
        <w:t>3.1 External Debt by Borrower Category</w:t>
      </w:r>
      <w:bookmarkEnd w:id="60"/>
    </w:p>
    <w:p w14:paraId="249DEC18" w14:textId="61029116" w:rsidR="001A65E5" w:rsidRDefault="00365B1B" w:rsidP="00E0795E">
      <w:pPr>
        <w:spacing w:line="360" w:lineRule="auto"/>
        <w:jc w:val="both"/>
        <w:rPr>
          <w:noProof/>
          <w:lang w:eastAsia="en-029"/>
        </w:rPr>
      </w:pPr>
      <w:r>
        <w:rPr>
          <w:noProof/>
          <w:lang w:val="en-US"/>
        </w:rPr>
        <mc:AlternateContent>
          <mc:Choice Requires="wps">
            <w:drawing>
              <wp:anchor distT="0" distB="0" distL="114300" distR="114300" simplePos="0" relativeHeight="251705344" behindDoc="0" locked="0" layoutInCell="1" allowOverlap="1" wp14:anchorId="7367B24D" wp14:editId="6C303599">
                <wp:simplePos x="0" y="0"/>
                <wp:positionH relativeFrom="margin">
                  <wp:posOffset>3193415</wp:posOffset>
                </wp:positionH>
                <wp:positionV relativeFrom="paragraph">
                  <wp:posOffset>8890</wp:posOffset>
                </wp:positionV>
                <wp:extent cx="2418080" cy="191770"/>
                <wp:effectExtent l="0" t="0" r="1270" b="0"/>
                <wp:wrapSquare wrapText="bothSides"/>
                <wp:docPr id="35" name="Text Box 35"/>
                <wp:cNvGraphicFramePr/>
                <a:graphic xmlns:a="http://schemas.openxmlformats.org/drawingml/2006/main">
                  <a:graphicData uri="http://schemas.microsoft.com/office/word/2010/wordprocessingShape">
                    <wps:wsp>
                      <wps:cNvSpPr txBox="1"/>
                      <wps:spPr>
                        <a:xfrm>
                          <a:off x="0" y="0"/>
                          <a:ext cx="2418080" cy="191770"/>
                        </a:xfrm>
                        <a:prstGeom prst="rect">
                          <a:avLst/>
                        </a:prstGeom>
                        <a:solidFill>
                          <a:prstClr val="white"/>
                        </a:solidFill>
                        <a:ln>
                          <a:noFill/>
                        </a:ln>
                        <a:effectLst/>
                      </wps:spPr>
                      <wps:txbx>
                        <w:txbxContent>
                          <w:p w14:paraId="304E7C64" w14:textId="77777777" w:rsidR="005C750A" w:rsidRPr="008552B7" w:rsidRDefault="005C750A" w:rsidP="007976F6">
                            <w:bookmarkStart w:id="61" w:name="_Toc102559777"/>
                            <w:bookmarkStart w:id="62" w:name="_Toc102560675"/>
                            <w:r w:rsidRPr="008552B7">
                              <w:t xml:space="preserve">Figure </w:t>
                            </w:r>
                            <w:r w:rsidR="002E1637">
                              <w:fldChar w:fldCharType="begin"/>
                            </w:r>
                            <w:r w:rsidR="002E1637">
                              <w:instrText xml:space="preserve"> SEQ Figure \* ARABIC </w:instrText>
                            </w:r>
                            <w:r w:rsidR="002E1637">
                              <w:fldChar w:fldCharType="separate"/>
                            </w:r>
                            <w:r>
                              <w:rPr>
                                <w:noProof/>
                              </w:rPr>
                              <w:t>7</w:t>
                            </w:r>
                            <w:r w:rsidR="002E1637">
                              <w:rPr>
                                <w:noProof/>
                              </w:rPr>
                              <w:fldChar w:fldCharType="end"/>
                            </w:r>
                            <w:r w:rsidRPr="008552B7">
                              <w:t>: External Debt by Borrower Category 2017-2021</w:t>
                            </w:r>
                            <w:bookmarkEnd w:id="61"/>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367B24D" id="Text Box 35" o:spid="_x0000_s1037" type="#_x0000_t202" style="position:absolute;left:0;text-align:left;margin-left:251.45pt;margin-top:.7pt;width:190.4pt;height:15.1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" stroked="f">
                <v:textbox inset="0,0,0,0">
                  <w:txbxContent>
                    <w:p w14:paraId="304E7C64" w14:textId="77777777" w:rsidR="005C750A" w:rsidRPr="008552B7" w:rsidRDefault="005C750A" w:rsidP="007976F6">
                      <w:bookmarkStart w:id="75" w:name="_Toc102559777"/>
                      <w:bookmarkStart w:id="76" w:name="_Toc102560675"/>
                      <w:r w:rsidRPr="008552B7">
                        <w:t xml:space="preserve">Figure </w:t>
                      </w:r>
                      <w:fldSimple w:instr=" SEQ Figure \* ARABIC ">
                        <w:r>
                          <w:rPr>
                            <w:noProof/>
                          </w:rPr>
                          <w:t>7</w:t>
                        </w:r>
                      </w:fldSimple>
                      <w:r w:rsidRPr="008552B7">
                        <w:t>: External Debt by Borrower Category 2017-2021</w:t>
                      </w:r>
                      <w:bookmarkEnd w:id="75"/>
                      <w:bookmarkEnd w:id="76"/>
                    </w:p>
                  </w:txbxContent>
                </v:textbox>
                <w10:wrap type="square" anchorx="margin"/>
              </v:shape>
            </w:pict>
          </mc:Fallback>
        </mc:AlternateContent>
      </w:r>
      <w:r w:rsidR="001F0670" w:rsidRPr="00BB3D52">
        <w:rPr>
          <w:rFonts w:cs="Times New Roman"/>
          <w:sz w:val="24"/>
          <w:szCs w:val="24"/>
        </w:rPr>
        <w:t xml:space="preserve">The external public sector debt stock increased to </w:t>
      </w:r>
      <w:r w:rsidR="009E6850" w:rsidRPr="00BB3D52">
        <w:rPr>
          <w:rFonts w:cs="Times New Roman"/>
          <w:sz w:val="24"/>
          <w:szCs w:val="24"/>
        </w:rPr>
        <w:t>$2,290.24</w:t>
      </w:r>
      <w:r w:rsidR="00646736" w:rsidRPr="00BB3D52">
        <w:rPr>
          <w:rFonts w:cs="Times New Roman"/>
          <w:sz w:val="24"/>
          <w:szCs w:val="24"/>
        </w:rPr>
        <w:t>M or 17.6% during 2021</w:t>
      </w:r>
      <w:r w:rsidR="001F0670" w:rsidRPr="00BB3D52">
        <w:rPr>
          <w:rFonts w:cs="Times New Roman"/>
          <w:sz w:val="24"/>
          <w:szCs w:val="24"/>
        </w:rPr>
        <w:t xml:space="preserve"> due to increases in the debt stock for</w:t>
      </w:r>
      <w:r w:rsidR="0018735F">
        <w:rPr>
          <w:rFonts w:cs="Times New Roman"/>
          <w:sz w:val="24"/>
          <w:szCs w:val="24"/>
        </w:rPr>
        <w:t xml:space="preserve"> the central government and government guaranteed</w:t>
      </w:r>
      <w:r w:rsidR="0050691E" w:rsidRPr="00BB3D52">
        <w:rPr>
          <w:rFonts w:cs="Times New Roman"/>
          <w:sz w:val="24"/>
          <w:szCs w:val="24"/>
        </w:rPr>
        <w:t xml:space="preserve"> borrower categorie</w:t>
      </w:r>
      <w:r w:rsidR="0018735F" w:rsidRPr="0018735F">
        <w:rPr>
          <w:rFonts w:cs="Times New Roman"/>
          <w:sz w:val="24"/>
          <w:szCs w:val="24"/>
        </w:rPr>
        <w:t>s</w:t>
      </w:r>
      <w:r w:rsidR="0050691E" w:rsidRPr="0018735F">
        <w:rPr>
          <w:rFonts w:cs="Times New Roman"/>
          <w:sz w:val="24"/>
          <w:szCs w:val="24"/>
        </w:rPr>
        <w:t xml:space="preserve">. </w:t>
      </w:r>
      <w:r w:rsidR="0050691E" w:rsidRPr="00BB3D52">
        <w:rPr>
          <w:rFonts w:cs="Times New Roman"/>
          <w:sz w:val="24"/>
          <w:szCs w:val="24"/>
        </w:rPr>
        <w:t>Central</w:t>
      </w:r>
      <w:r w:rsidR="0004597A">
        <w:rPr>
          <w:rFonts w:cs="Times New Roman"/>
          <w:sz w:val="24"/>
          <w:szCs w:val="24"/>
        </w:rPr>
        <w:t xml:space="preserve"> </w:t>
      </w:r>
      <w:r w:rsidR="001F0670" w:rsidRPr="00BB3D52">
        <w:rPr>
          <w:rFonts w:cs="Times New Roman"/>
          <w:sz w:val="24"/>
          <w:szCs w:val="24"/>
        </w:rPr>
        <w:t>government ex</w:t>
      </w:r>
      <w:r w:rsidR="0050691E" w:rsidRPr="00BB3D52">
        <w:rPr>
          <w:rFonts w:cs="Times New Roman"/>
          <w:sz w:val="24"/>
          <w:szCs w:val="24"/>
        </w:rPr>
        <w:t>ternal de</w:t>
      </w:r>
      <w:r w:rsidR="009E6850" w:rsidRPr="00BB3D52">
        <w:rPr>
          <w:rFonts w:cs="Times New Roman"/>
          <w:sz w:val="24"/>
          <w:szCs w:val="24"/>
        </w:rPr>
        <w:t>bt increased by $293.54</w:t>
      </w:r>
      <w:r w:rsidR="00646736" w:rsidRPr="00BB3D52">
        <w:rPr>
          <w:rFonts w:cs="Times New Roman"/>
          <w:sz w:val="24"/>
          <w:szCs w:val="24"/>
        </w:rPr>
        <w:t>M or 15.6</w:t>
      </w:r>
      <w:r w:rsidR="001F0670" w:rsidRPr="00BB3D52">
        <w:rPr>
          <w:rFonts w:cs="Times New Roman"/>
          <w:sz w:val="24"/>
          <w:szCs w:val="24"/>
        </w:rPr>
        <w:t>%</w:t>
      </w:r>
      <w:r w:rsidR="0004597A">
        <w:rPr>
          <w:rFonts w:cs="Times New Roman"/>
          <w:sz w:val="24"/>
          <w:szCs w:val="24"/>
        </w:rPr>
        <w:t>,</w:t>
      </w:r>
      <w:r w:rsidR="001F0670" w:rsidRPr="00BB3D52">
        <w:rPr>
          <w:rFonts w:cs="Times New Roman"/>
          <w:sz w:val="24"/>
          <w:szCs w:val="24"/>
        </w:rPr>
        <w:t xml:space="preserve"> due to </w:t>
      </w:r>
      <w:r w:rsidR="008040D5">
        <w:rPr>
          <w:rFonts w:cs="Times New Roman"/>
          <w:sz w:val="24"/>
          <w:szCs w:val="24"/>
        </w:rPr>
        <w:t xml:space="preserve">an </w:t>
      </w:r>
      <w:r w:rsidR="001F0670" w:rsidRPr="00BB3D52">
        <w:rPr>
          <w:rFonts w:cs="Times New Roman"/>
          <w:sz w:val="24"/>
          <w:szCs w:val="24"/>
        </w:rPr>
        <w:t>increase in loans</w:t>
      </w:r>
      <w:r w:rsidR="008040D5">
        <w:rPr>
          <w:rFonts w:cs="Times New Roman"/>
          <w:sz w:val="24"/>
          <w:szCs w:val="24"/>
        </w:rPr>
        <w:t>.</w:t>
      </w:r>
      <w:r w:rsidR="00C55CFD" w:rsidRPr="0004597A">
        <w:rPr>
          <w:rFonts w:cs="Times New Roman"/>
          <w:sz w:val="24"/>
          <w:szCs w:val="24"/>
        </w:rPr>
        <w:t xml:space="preserve"> </w:t>
      </w:r>
      <w:r w:rsidR="00586D74">
        <w:rPr>
          <w:rFonts w:cs="Times New Roman"/>
          <w:sz w:val="24"/>
          <w:szCs w:val="24"/>
        </w:rPr>
        <w:t>Government</w:t>
      </w:r>
      <w:r w:rsidR="00CB39B4">
        <w:rPr>
          <w:rFonts w:cs="Times New Roman"/>
          <w:sz w:val="24"/>
          <w:szCs w:val="24"/>
        </w:rPr>
        <w:t xml:space="preserve"> </w:t>
      </w:r>
      <w:r w:rsidR="00646736" w:rsidRPr="00BB3D52">
        <w:rPr>
          <w:rFonts w:cs="Times New Roman"/>
          <w:sz w:val="24"/>
          <w:szCs w:val="24"/>
        </w:rPr>
        <w:t>Guaranteed debt increased by $49.46M or 74.6</w:t>
      </w:r>
      <w:r w:rsidR="001F0670" w:rsidRPr="00BB3D52">
        <w:rPr>
          <w:rFonts w:cs="Times New Roman"/>
          <w:sz w:val="24"/>
          <w:szCs w:val="24"/>
        </w:rPr>
        <w:t xml:space="preserve">% due to drawdowns on the ROCT EXIM-Bank </w:t>
      </w:r>
      <w:r w:rsidR="00DB389D">
        <w:rPr>
          <w:rFonts w:cs="Times New Roman"/>
          <w:sz w:val="24"/>
          <w:szCs w:val="24"/>
        </w:rPr>
        <w:t>HIARDP</w:t>
      </w:r>
      <w:r w:rsidR="001F0670" w:rsidRPr="00BB3D52">
        <w:rPr>
          <w:rFonts w:cs="Times New Roman"/>
          <w:sz w:val="24"/>
          <w:szCs w:val="24"/>
        </w:rPr>
        <w:t xml:space="preserve"> loan. Central government external debt was the main contributor to the public sector </w:t>
      </w:r>
      <w:r w:rsidR="009E6850" w:rsidRPr="00BB3D52">
        <w:rPr>
          <w:rFonts w:cs="Times New Roman"/>
          <w:sz w:val="24"/>
          <w:szCs w:val="24"/>
        </w:rPr>
        <w:t xml:space="preserve">external debt stock with a </w:t>
      </w:r>
      <w:r w:rsidR="000A7E41">
        <w:rPr>
          <w:noProof/>
          <w:lang w:val="en-US"/>
        </w:rPr>
        <w:drawing>
          <wp:anchor distT="0" distB="0" distL="114300" distR="114300" simplePos="0" relativeHeight="251665408" behindDoc="0" locked="0" layoutInCell="1" allowOverlap="1" wp14:anchorId="108511B7" wp14:editId="5C0558F1">
            <wp:simplePos x="0" y="0"/>
            <wp:positionH relativeFrom="margin">
              <wp:align>right</wp:align>
            </wp:positionH>
            <wp:positionV relativeFrom="paragraph">
              <wp:posOffset>395</wp:posOffset>
            </wp:positionV>
            <wp:extent cx="2834640" cy="2011680"/>
            <wp:effectExtent l="0" t="0" r="0" b="0"/>
            <wp:wrapSquare wrapText="bothSides"/>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anchor>
        </w:drawing>
      </w:r>
      <w:r w:rsidR="009E6850" w:rsidRPr="00BB3D52">
        <w:rPr>
          <w:rFonts w:cs="Times New Roman"/>
          <w:sz w:val="24"/>
          <w:szCs w:val="24"/>
        </w:rPr>
        <w:t>94.9</w:t>
      </w:r>
      <w:r w:rsidR="001F0670" w:rsidRPr="00BB3D52">
        <w:rPr>
          <w:rFonts w:cs="Times New Roman"/>
          <w:sz w:val="24"/>
          <w:szCs w:val="24"/>
        </w:rPr>
        <w:t>% share of the total debt portfolio. External government-guaranteed debt contributed a minuscule portion of</w:t>
      </w:r>
      <w:r w:rsidR="00646736" w:rsidRPr="00BB3D52">
        <w:rPr>
          <w:rFonts w:cs="Times New Roman"/>
          <w:sz w:val="24"/>
          <w:szCs w:val="24"/>
        </w:rPr>
        <w:t xml:space="preserve"> total external debt with $115.74</w:t>
      </w:r>
      <w:r w:rsidR="009E6850" w:rsidRPr="00BB3D52">
        <w:rPr>
          <w:rFonts w:cs="Times New Roman"/>
          <w:sz w:val="24"/>
          <w:szCs w:val="24"/>
        </w:rPr>
        <w:t>M or 5.1</w:t>
      </w:r>
      <w:r w:rsidR="00B6295C" w:rsidRPr="00BB3D52">
        <w:rPr>
          <w:rFonts w:cs="Times New Roman"/>
          <w:sz w:val="24"/>
          <w:szCs w:val="24"/>
        </w:rPr>
        <w:t>% in 2021</w:t>
      </w:r>
      <w:r w:rsidR="00DA121F">
        <w:rPr>
          <w:rFonts w:cs="Times New Roman"/>
          <w:sz w:val="24"/>
          <w:szCs w:val="24"/>
        </w:rPr>
        <w:t>.</w:t>
      </w:r>
      <w:r w:rsidR="001F0670" w:rsidRPr="00BB3D52">
        <w:rPr>
          <w:rFonts w:cs="Times New Roman"/>
          <w:sz w:val="24"/>
          <w:szCs w:val="24"/>
        </w:rPr>
        <w:t xml:space="preserve"> (</w:t>
      </w:r>
      <w:r w:rsidR="00392EA2">
        <w:rPr>
          <w:rFonts w:cs="Times New Roman"/>
          <w:sz w:val="24"/>
          <w:szCs w:val="24"/>
        </w:rPr>
        <w:t>Figure</w:t>
      </w:r>
      <w:r w:rsidR="0004597A">
        <w:rPr>
          <w:rFonts w:cs="Times New Roman"/>
          <w:sz w:val="24"/>
          <w:szCs w:val="24"/>
        </w:rPr>
        <w:t>7</w:t>
      </w:r>
      <w:r w:rsidR="001F0670" w:rsidRPr="00BB3D52">
        <w:rPr>
          <w:rFonts w:cs="Times New Roman"/>
          <w:sz w:val="24"/>
          <w:szCs w:val="24"/>
        </w:rPr>
        <w:t>)</w:t>
      </w:r>
      <w:r w:rsidR="0004597A" w:rsidRPr="0004597A">
        <w:rPr>
          <w:noProof/>
          <w:lang w:eastAsia="en-029"/>
        </w:rPr>
        <w:t xml:space="preserve"> </w:t>
      </w:r>
    </w:p>
    <w:p w14:paraId="4995D466" w14:textId="77777777" w:rsidR="001827C8" w:rsidRPr="00BB3D52" w:rsidRDefault="00365B1B" w:rsidP="00E0795E">
      <w:pPr>
        <w:pStyle w:val="Heading2"/>
        <w:spacing w:line="360" w:lineRule="auto"/>
        <w:rPr>
          <w:rFonts w:cs="Times New Roman"/>
          <w:sz w:val="24"/>
          <w:szCs w:val="24"/>
        </w:rPr>
      </w:pPr>
      <w:bookmarkStart w:id="63" w:name="_Toc102558919"/>
      <w:r w:rsidRPr="00BB3D52">
        <w:rPr>
          <w:rFonts w:cs="Times New Roman"/>
          <w:sz w:val="24"/>
          <w:szCs w:val="24"/>
        </w:rPr>
        <w:t>3.2 External Debt by Currency Composition</w:t>
      </w:r>
      <w:bookmarkEnd w:id="63"/>
    </w:p>
    <w:p w14:paraId="14023C2D" w14:textId="77777777" w:rsidR="002B68C2" w:rsidRPr="00AC1B20" w:rsidRDefault="00365B1B" w:rsidP="00E0795E">
      <w:pPr>
        <w:spacing w:line="360" w:lineRule="auto"/>
        <w:jc w:val="both"/>
        <w:rPr>
          <w:noProof/>
          <w:lang w:eastAsia="en-029"/>
        </w:rPr>
      </w:pPr>
      <w:r>
        <w:rPr>
          <w:noProof/>
          <w:lang w:val="en-US"/>
        </w:rPr>
        <mc:AlternateContent>
          <mc:Choice Requires="wps">
            <w:drawing>
              <wp:anchor distT="0" distB="0" distL="114300" distR="114300" simplePos="0" relativeHeight="251706368" behindDoc="0" locked="0" layoutInCell="1" allowOverlap="1" wp14:anchorId="54320FFC" wp14:editId="1F9C08BF">
                <wp:simplePos x="0" y="0"/>
                <wp:positionH relativeFrom="margin">
                  <wp:align>right</wp:align>
                </wp:positionH>
                <wp:positionV relativeFrom="paragraph">
                  <wp:posOffset>13335</wp:posOffset>
                </wp:positionV>
                <wp:extent cx="2834640" cy="142875"/>
                <wp:effectExtent l="0" t="0" r="3810" b="9525"/>
                <wp:wrapSquare wrapText="bothSides"/>
                <wp:docPr id="36" name="Text Box 36"/>
                <wp:cNvGraphicFramePr/>
                <a:graphic xmlns:a="http://schemas.openxmlformats.org/drawingml/2006/main">
                  <a:graphicData uri="http://schemas.microsoft.com/office/word/2010/wordprocessingShape">
                    <wps:wsp>
                      <wps:cNvSpPr txBox="1"/>
                      <wps:spPr>
                        <a:xfrm>
                          <a:off x="0" y="0"/>
                          <a:ext cx="2834640" cy="142875"/>
                        </a:xfrm>
                        <a:prstGeom prst="rect">
                          <a:avLst/>
                        </a:prstGeom>
                        <a:solidFill>
                          <a:prstClr val="white"/>
                        </a:solidFill>
                        <a:ln>
                          <a:noFill/>
                        </a:ln>
                        <a:effectLst/>
                      </wps:spPr>
                      <wps:txbx>
                        <w:txbxContent>
                          <w:p w14:paraId="782B0848" w14:textId="77777777" w:rsidR="005C750A" w:rsidRPr="001E6F38" w:rsidRDefault="005C750A" w:rsidP="007976F6">
                            <w:pPr>
                              <w:rPr>
                                <w:noProof/>
                              </w:rPr>
                            </w:pPr>
                            <w:bookmarkStart w:id="64" w:name="_Toc102559778"/>
                            <w:bookmarkStart w:id="65" w:name="_Toc102560676"/>
                            <w:r w:rsidRPr="001E6F38">
                              <w:t xml:space="preserve">Figure </w:t>
                            </w:r>
                            <w:r w:rsidR="002E1637">
                              <w:fldChar w:fldCharType="begin"/>
                            </w:r>
                            <w:r w:rsidR="002E1637">
                              <w:instrText xml:space="preserve"> SEQ Figure \* ARABIC </w:instrText>
                            </w:r>
                            <w:r w:rsidR="002E1637">
                              <w:fldChar w:fldCharType="separate"/>
                            </w:r>
                            <w:r>
                              <w:rPr>
                                <w:noProof/>
                              </w:rPr>
                              <w:t>8</w:t>
                            </w:r>
                            <w:r w:rsidR="002E1637">
                              <w:rPr>
                                <w:noProof/>
                              </w:rPr>
                              <w:fldChar w:fldCharType="end"/>
                            </w:r>
                            <w:r w:rsidRPr="001E6F38">
                              <w:t>: External Debt by Currency Composition 2017-2021</w:t>
                            </w:r>
                            <w:bookmarkEnd w:id="64"/>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V relativeFrom="margin">
                  <wp14:pctHeight>0</wp14:pctHeight>
                </wp14:sizeRelV>
              </wp:anchor>
            </w:drawing>
          </mc:Choice>
          <mc:Fallback xmlns:w16se="http://schemas.microsoft.com/office/word/2015/wordml/symex" xmlns:cx="http://schemas.microsoft.com/office/drawing/2014/chartex">
            <w:pict>
              <v:shape w14:anchorId="54320FFC" id="Text Box 36" o:spid="_x0000_s1038" type="#_x0000_t202" style="position:absolute;left:0;text-align:left;margin-left:172pt;margin-top:1.05pt;width:223.2pt;height:11.25pt;z-index:25170636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" stroked="f">
                <v:textbox inset="0,0,0,0">
                  <w:txbxContent>
                    <w:p w14:paraId="782B0848" w14:textId="77777777" w:rsidR="005C750A" w:rsidRPr="001E6F38" w:rsidRDefault="005C750A" w:rsidP="007976F6">
                      <w:pPr>
                        <w:rPr>
                          <w:noProof/>
                        </w:rPr>
                      </w:pPr>
                      <w:bookmarkStart w:id="80" w:name="_Toc102559778"/>
                      <w:bookmarkStart w:id="81" w:name="_Toc102560676"/>
                      <w:r w:rsidRPr="001E6F38">
                        <w:t xml:space="preserve">Figure </w:t>
                      </w:r>
                      <w:fldSimple w:instr=" SEQ Figure \* ARABIC ">
                        <w:r>
                          <w:rPr>
                            <w:noProof/>
                          </w:rPr>
                          <w:t>8</w:t>
                        </w:r>
                      </w:fldSimple>
                      <w:r w:rsidRPr="001E6F38">
                        <w:t>: External Debt by Currency Composition 2017-2021</w:t>
                      </w:r>
                      <w:bookmarkEnd w:id="80"/>
                      <w:bookmarkEnd w:id="81"/>
                    </w:p>
                  </w:txbxContent>
                </v:textbox>
                <w10:wrap type="square" anchorx="margin"/>
              </v:shape>
            </w:pict>
          </mc:Fallback>
        </mc:AlternateContent>
      </w:r>
      <w:r w:rsidR="000A7E41">
        <w:rPr>
          <w:noProof/>
          <w:lang w:val="en-US"/>
        </w:rPr>
        <w:drawing>
          <wp:anchor distT="0" distB="0" distL="114300" distR="114300" simplePos="0" relativeHeight="251662336" behindDoc="0" locked="0" layoutInCell="1" allowOverlap="1" wp14:anchorId="400844D4" wp14:editId="184550C2">
            <wp:simplePos x="0" y="0"/>
            <wp:positionH relativeFrom="margin">
              <wp:align>right</wp:align>
            </wp:positionH>
            <wp:positionV relativeFrom="paragraph">
              <wp:posOffset>8231</wp:posOffset>
            </wp:positionV>
            <wp:extent cx="2834640" cy="1920240"/>
            <wp:effectExtent l="0" t="0" r="0" b="0"/>
            <wp:wrapSquare wrapText="bothSides"/>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001F0670" w:rsidRPr="00BB3D52">
        <w:rPr>
          <w:rFonts w:cs="Times New Roman"/>
          <w:sz w:val="24"/>
          <w:szCs w:val="24"/>
        </w:rPr>
        <w:t xml:space="preserve">The total external debt portfolio carried a minuscule foreign exchange risk due to the continued domination of the United States Dollar (USD) and the Eastern Caribbean Dollar (XCD). At the </w:t>
      </w:r>
      <w:r w:rsidR="00E12E48" w:rsidRPr="00BB3D52">
        <w:rPr>
          <w:rFonts w:cs="Times New Roman"/>
          <w:sz w:val="24"/>
          <w:szCs w:val="24"/>
        </w:rPr>
        <w:t>end of 2021</w:t>
      </w:r>
      <w:r w:rsidR="001F0670" w:rsidRPr="00BB3D52">
        <w:rPr>
          <w:rFonts w:cs="Times New Roman"/>
          <w:sz w:val="24"/>
          <w:szCs w:val="24"/>
        </w:rPr>
        <w:t>, USD dominated the extern</w:t>
      </w:r>
      <w:r w:rsidR="00E63D2A" w:rsidRPr="00BB3D52">
        <w:rPr>
          <w:rFonts w:cs="Times New Roman"/>
          <w:sz w:val="24"/>
          <w:szCs w:val="24"/>
        </w:rPr>
        <w:t>al debt p</w:t>
      </w:r>
      <w:r w:rsidR="000D5FC2" w:rsidRPr="00BB3D52">
        <w:rPr>
          <w:rFonts w:cs="Times New Roman"/>
          <w:sz w:val="24"/>
          <w:szCs w:val="24"/>
        </w:rPr>
        <w:t>ortfolio with $1,352.16M or 59.0</w:t>
      </w:r>
      <w:r w:rsidR="00E63D2A" w:rsidRPr="00BB3D52">
        <w:rPr>
          <w:rFonts w:cs="Times New Roman"/>
          <w:sz w:val="24"/>
          <w:szCs w:val="24"/>
        </w:rPr>
        <w:t>%, and XCD contributed $579.81M or 25.3</w:t>
      </w:r>
      <w:r w:rsidR="001F0670" w:rsidRPr="00BB3D52">
        <w:rPr>
          <w:rFonts w:cs="Times New Roman"/>
          <w:sz w:val="24"/>
          <w:szCs w:val="24"/>
        </w:rPr>
        <w:t>%, insulating the portfolio against foreign exchange risk.</w:t>
      </w:r>
      <w:r w:rsidR="00E63D2A" w:rsidRPr="00BB3D52">
        <w:rPr>
          <w:rFonts w:cs="Times New Roman"/>
          <w:color w:val="FF0000"/>
          <w:sz w:val="24"/>
          <w:szCs w:val="24"/>
        </w:rPr>
        <w:t xml:space="preserve"> </w:t>
      </w:r>
      <w:r w:rsidR="001F0670" w:rsidRPr="00BB3D52">
        <w:rPr>
          <w:rFonts w:cs="Times New Roman"/>
          <w:sz w:val="24"/>
          <w:szCs w:val="24"/>
        </w:rPr>
        <w:t>The othe</w:t>
      </w:r>
      <w:r w:rsidR="000D5FC2" w:rsidRPr="00BB3D52">
        <w:rPr>
          <w:rFonts w:cs="Times New Roman"/>
          <w:sz w:val="24"/>
          <w:szCs w:val="24"/>
        </w:rPr>
        <w:t>r currencies contributed $358.27</w:t>
      </w:r>
      <w:r w:rsidR="00CC5651" w:rsidRPr="00BB3D52">
        <w:rPr>
          <w:rFonts w:cs="Times New Roman"/>
          <w:sz w:val="24"/>
          <w:szCs w:val="24"/>
        </w:rPr>
        <w:t>M or 15.7</w:t>
      </w:r>
      <w:r w:rsidR="001F0670" w:rsidRPr="00BB3D52">
        <w:rPr>
          <w:rFonts w:cs="Times New Roman"/>
          <w:sz w:val="24"/>
          <w:szCs w:val="24"/>
        </w:rPr>
        <w:t xml:space="preserve">% of the external portfolio. Special Drawing </w:t>
      </w:r>
      <w:r w:rsidR="00E63D2A" w:rsidRPr="00BB3D52">
        <w:rPr>
          <w:rFonts w:cs="Times New Roman"/>
          <w:sz w:val="24"/>
          <w:szCs w:val="24"/>
        </w:rPr>
        <w:t>Rights (SDR) 14.9%, Kuwaiti Dinars (KWD) 0.6% and the EURO (EUR) 0.2</w:t>
      </w:r>
      <w:r w:rsidR="00051900" w:rsidRPr="00BB3D52">
        <w:rPr>
          <w:rFonts w:cs="Times New Roman"/>
          <w:sz w:val="24"/>
          <w:szCs w:val="24"/>
        </w:rPr>
        <w:t xml:space="preserve">%. </w:t>
      </w:r>
      <w:r w:rsidR="002B68C2">
        <w:rPr>
          <w:rFonts w:cs="Times New Roman"/>
          <w:sz w:val="24"/>
          <w:szCs w:val="24"/>
        </w:rPr>
        <w:t>(</w:t>
      </w:r>
      <w:r w:rsidR="00392EA2">
        <w:rPr>
          <w:rFonts w:cs="Times New Roman"/>
          <w:sz w:val="24"/>
          <w:szCs w:val="24"/>
        </w:rPr>
        <w:t>Figure</w:t>
      </w:r>
      <w:r w:rsidR="002B68C2">
        <w:rPr>
          <w:rFonts w:cs="Times New Roman"/>
          <w:sz w:val="24"/>
          <w:szCs w:val="24"/>
        </w:rPr>
        <w:t xml:space="preserve"> 8</w:t>
      </w:r>
      <w:r w:rsidR="001827C8" w:rsidRPr="00BB3D52">
        <w:rPr>
          <w:rFonts w:cs="Times New Roman"/>
          <w:sz w:val="24"/>
          <w:szCs w:val="24"/>
        </w:rPr>
        <w:t>)</w:t>
      </w:r>
      <w:r w:rsidR="002B68C2" w:rsidRPr="002B68C2">
        <w:rPr>
          <w:noProof/>
          <w:lang w:eastAsia="en-029"/>
        </w:rPr>
        <w:t xml:space="preserve"> </w:t>
      </w:r>
    </w:p>
    <w:p w14:paraId="34CB4C23" w14:textId="77777777" w:rsidR="001827C8" w:rsidRPr="00BB3D52" w:rsidRDefault="00365B1B" w:rsidP="00E0795E">
      <w:pPr>
        <w:pStyle w:val="Heading2"/>
        <w:spacing w:line="360" w:lineRule="auto"/>
        <w:rPr>
          <w:rFonts w:cs="Times New Roman"/>
          <w:sz w:val="24"/>
          <w:szCs w:val="24"/>
        </w:rPr>
      </w:pPr>
      <w:bookmarkStart w:id="66" w:name="_Toc102558920"/>
      <w:r w:rsidRPr="00BB3D52">
        <w:rPr>
          <w:rFonts w:cs="Times New Roman"/>
          <w:sz w:val="24"/>
          <w:szCs w:val="24"/>
        </w:rPr>
        <w:t>3.3 External Debt by Interest Type</w:t>
      </w:r>
      <w:bookmarkEnd w:id="66"/>
    </w:p>
    <w:p w14:paraId="7634A09F" w14:textId="77777777" w:rsidR="007F2059" w:rsidRPr="000A7E41" w:rsidRDefault="00365B1B" w:rsidP="00E0795E">
      <w:pPr>
        <w:spacing w:line="360" w:lineRule="auto"/>
        <w:jc w:val="both"/>
        <w:rPr>
          <w:rFonts w:cs="Times New Roman"/>
          <w:b/>
          <w:sz w:val="24"/>
          <w:szCs w:val="24"/>
        </w:rPr>
      </w:pPr>
      <w:r>
        <w:rPr>
          <w:noProof/>
          <w:lang w:val="en-US"/>
        </w:rPr>
        <mc:AlternateContent>
          <mc:Choice Requires="wps">
            <w:drawing>
              <wp:anchor distT="0" distB="0" distL="114300" distR="114300" simplePos="0" relativeHeight="251708416" behindDoc="0" locked="0" layoutInCell="1" allowOverlap="1" wp14:anchorId="3637F0DA" wp14:editId="1B1FB4E3">
                <wp:simplePos x="0" y="0"/>
                <wp:positionH relativeFrom="margin">
                  <wp:posOffset>3295650</wp:posOffset>
                </wp:positionH>
                <wp:positionV relativeFrom="paragraph">
                  <wp:posOffset>10795</wp:posOffset>
                </wp:positionV>
                <wp:extent cx="2419350" cy="133350"/>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2419350" cy="133350"/>
                        </a:xfrm>
                        <a:prstGeom prst="rect">
                          <a:avLst/>
                        </a:prstGeom>
                        <a:solidFill>
                          <a:prstClr val="white"/>
                        </a:solidFill>
                        <a:ln>
                          <a:noFill/>
                        </a:ln>
                        <a:effectLst/>
                      </wps:spPr>
                      <wps:txbx>
                        <w:txbxContent>
                          <w:p w14:paraId="121B9D35" w14:textId="77777777" w:rsidR="005C750A" w:rsidRPr="001E6F38" w:rsidRDefault="005C750A" w:rsidP="007976F6">
                            <w:pPr>
                              <w:rPr>
                                <w:noProof/>
                              </w:rPr>
                            </w:pPr>
                            <w:bookmarkStart w:id="67" w:name="_Toc102559779"/>
                            <w:bookmarkStart w:id="68" w:name="_Toc102560677"/>
                            <w:r w:rsidRPr="001E6F38">
                              <w:t xml:space="preserve">Figure </w:t>
                            </w:r>
                            <w:r w:rsidR="002E1637">
                              <w:fldChar w:fldCharType="begin"/>
                            </w:r>
                            <w:r w:rsidR="002E1637">
                              <w:instrText xml:space="preserve"> SEQ Figure \* ARABIC </w:instrText>
                            </w:r>
                            <w:r w:rsidR="002E1637">
                              <w:fldChar w:fldCharType="separate"/>
                            </w:r>
                            <w:r>
                              <w:rPr>
                                <w:noProof/>
                              </w:rPr>
                              <w:t>9</w:t>
                            </w:r>
                            <w:r w:rsidR="002E1637">
                              <w:rPr>
                                <w:noProof/>
                              </w:rPr>
                              <w:fldChar w:fldCharType="end"/>
                            </w:r>
                            <w:r w:rsidRPr="001E6F38">
                              <w:t>: External Debt by Interest Type 2017-2021</w:t>
                            </w:r>
                            <w:bookmarkEnd w:id="67"/>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637F0DA" id="Text Box 37" o:spid="_x0000_s1039" type="#_x0000_t202" style="position:absolute;left:0;text-align:left;margin-left:259.5pt;margin-top:.85pt;width:190.5pt;height:10.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" stroked="f">
                <v:textbox inset="0,0,0,0">
                  <w:txbxContent>
                    <w:p w14:paraId="121B9D35" w14:textId="77777777" w:rsidR="005C750A" w:rsidRPr="001E6F38" w:rsidRDefault="005C750A" w:rsidP="007976F6">
                      <w:pPr>
                        <w:rPr>
                          <w:noProof/>
                        </w:rPr>
                      </w:pPr>
                      <w:bookmarkStart w:id="85" w:name="_Toc102559779"/>
                      <w:bookmarkStart w:id="86" w:name="_Toc102560677"/>
                      <w:r w:rsidRPr="001E6F38">
                        <w:t xml:space="preserve">Figure </w:t>
                      </w:r>
                      <w:fldSimple w:instr=" SEQ Figure \* ARABIC ">
                        <w:r>
                          <w:rPr>
                            <w:noProof/>
                          </w:rPr>
                          <w:t>9</w:t>
                        </w:r>
                      </w:fldSimple>
                      <w:r w:rsidRPr="001E6F38">
                        <w:t>: External Debt by Interest Type 2017-2021</w:t>
                      </w:r>
                      <w:bookmarkEnd w:id="85"/>
                      <w:bookmarkEnd w:id="86"/>
                    </w:p>
                  </w:txbxContent>
                </v:textbox>
                <w10:wrap type="square" anchorx="margin"/>
              </v:shape>
            </w:pict>
          </mc:Fallback>
        </mc:AlternateContent>
      </w:r>
      <w:r>
        <w:rPr>
          <w:noProof/>
          <w:lang w:val="en-US"/>
        </w:rPr>
        <w:drawing>
          <wp:anchor distT="0" distB="0" distL="114300" distR="114300" simplePos="0" relativeHeight="251663360" behindDoc="0" locked="0" layoutInCell="1" allowOverlap="1" wp14:anchorId="2A6B2C34" wp14:editId="6C8B8228">
            <wp:simplePos x="0" y="0"/>
            <wp:positionH relativeFrom="margin">
              <wp:align>right</wp:align>
            </wp:positionH>
            <wp:positionV relativeFrom="paragraph">
              <wp:posOffset>10795</wp:posOffset>
            </wp:positionV>
            <wp:extent cx="2929890" cy="1920240"/>
            <wp:effectExtent l="0" t="0" r="0" b="3810"/>
            <wp:wrapSquare wrapText="bothSides"/>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001F0670" w:rsidRPr="00BB3D52">
        <w:rPr>
          <w:rFonts w:cs="Times New Roman"/>
          <w:sz w:val="24"/>
          <w:szCs w:val="24"/>
        </w:rPr>
        <w:t>Interest rate risk shows the debt portfolio's vulnerability to re</w:t>
      </w:r>
      <w:r w:rsidR="00436B73" w:rsidRPr="00BB3D52">
        <w:rPr>
          <w:rFonts w:cs="Times New Roman"/>
          <w:sz w:val="24"/>
          <w:szCs w:val="24"/>
        </w:rPr>
        <w:t>-</w:t>
      </w:r>
      <w:r w:rsidR="001F0670" w:rsidRPr="00BB3D52">
        <w:rPr>
          <w:rFonts w:cs="Times New Roman"/>
          <w:sz w:val="24"/>
          <w:szCs w:val="24"/>
        </w:rPr>
        <w:t>pricing at higher market interest rates when instru</w:t>
      </w:r>
      <w:r w:rsidR="00A30F41" w:rsidRPr="00BB3D52">
        <w:rPr>
          <w:rFonts w:cs="Times New Roman"/>
          <w:sz w:val="24"/>
          <w:szCs w:val="24"/>
        </w:rPr>
        <w:t>ments mature.</w:t>
      </w:r>
      <w:r w:rsidR="00A30F41" w:rsidRPr="00BB3D52">
        <w:rPr>
          <w:rFonts w:cs="Times New Roman"/>
          <w:color w:val="FF0000"/>
          <w:sz w:val="24"/>
          <w:szCs w:val="24"/>
        </w:rPr>
        <w:t xml:space="preserve"> </w:t>
      </w:r>
      <w:r w:rsidR="00A30F41" w:rsidRPr="00BB3D52">
        <w:rPr>
          <w:rFonts w:cs="Times New Roman"/>
          <w:sz w:val="24"/>
          <w:szCs w:val="24"/>
        </w:rPr>
        <w:t>At the end of 2021</w:t>
      </w:r>
      <w:r w:rsidR="001F0670" w:rsidRPr="00BB3D52">
        <w:rPr>
          <w:rFonts w:cs="Times New Roman"/>
          <w:sz w:val="24"/>
          <w:szCs w:val="24"/>
        </w:rPr>
        <w:t>, fi</w:t>
      </w:r>
      <w:r w:rsidR="00334ECF" w:rsidRPr="00BB3D52">
        <w:rPr>
          <w:rFonts w:cs="Times New Roman"/>
          <w:sz w:val="24"/>
          <w:szCs w:val="24"/>
        </w:rPr>
        <w:t>xed-rate debt (68.1</w:t>
      </w:r>
      <w:r w:rsidR="001F0670" w:rsidRPr="00BB3D52">
        <w:rPr>
          <w:rFonts w:cs="Times New Roman"/>
          <w:sz w:val="24"/>
          <w:szCs w:val="24"/>
        </w:rPr>
        <w:t>%) dominated the external debt portfolio, averagi</w:t>
      </w:r>
      <w:r w:rsidR="00334ECF" w:rsidRPr="00BB3D52">
        <w:rPr>
          <w:rFonts w:cs="Times New Roman"/>
          <w:sz w:val="24"/>
          <w:szCs w:val="24"/>
        </w:rPr>
        <w:t>ng 81.6</w:t>
      </w:r>
      <w:r w:rsidR="001F0670" w:rsidRPr="00BB3D52">
        <w:rPr>
          <w:rFonts w:cs="Times New Roman"/>
          <w:sz w:val="24"/>
          <w:szCs w:val="24"/>
        </w:rPr>
        <w:t>% for the previous five years.</w:t>
      </w:r>
      <w:r w:rsidR="001F0670" w:rsidRPr="00BB3D52">
        <w:rPr>
          <w:rFonts w:cs="Times New Roman"/>
          <w:color w:val="FF0000"/>
          <w:sz w:val="24"/>
          <w:szCs w:val="24"/>
        </w:rPr>
        <w:t xml:space="preserve"> </w:t>
      </w:r>
      <w:r w:rsidR="00334ECF" w:rsidRPr="00BB3D52">
        <w:rPr>
          <w:rFonts w:cs="Times New Roman"/>
          <w:sz w:val="24"/>
          <w:szCs w:val="24"/>
        </w:rPr>
        <w:t>The percentage of f</w:t>
      </w:r>
      <w:r w:rsidR="00D0621E" w:rsidRPr="00BB3D52">
        <w:rPr>
          <w:rFonts w:cs="Times New Roman"/>
          <w:sz w:val="24"/>
          <w:szCs w:val="24"/>
        </w:rPr>
        <w:t>ixed-rate debt has t</w:t>
      </w:r>
      <w:r w:rsidR="00334ECF" w:rsidRPr="00BB3D52">
        <w:rPr>
          <w:rFonts w:cs="Times New Roman"/>
          <w:sz w:val="24"/>
          <w:szCs w:val="24"/>
        </w:rPr>
        <w:t>rended upwards over the last four</w:t>
      </w:r>
      <w:r w:rsidR="00D0621E" w:rsidRPr="00BB3D52">
        <w:rPr>
          <w:rFonts w:cs="Times New Roman"/>
          <w:sz w:val="24"/>
          <w:szCs w:val="24"/>
        </w:rPr>
        <w:t xml:space="preserve"> </w:t>
      </w:r>
      <w:r w:rsidR="00DA121F" w:rsidRPr="00BB3D52">
        <w:rPr>
          <w:rFonts w:cs="Times New Roman"/>
          <w:sz w:val="24"/>
          <w:szCs w:val="24"/>
        </w:rPr>
        <w:t>years;</w:t>
      </w:r>
      <w:r w:rsidR="00334ECF" w:rsidRPr="00BB3D52">
        <w:rPr>
          <w:rFonts w:cs="Times New Roman"/>
          <w:sz w:val="24"/>
          <w:szCs w:val="24"/>
        </w:rPr>
        <w:t xml:space="preserve"> however, there was a decrease of 23.4%</w:t>
      </w:r>
      <w:r w:rsidR="00DA121F">
        <w:rPr>
          <w:rFonts w:cs="Times New Roman"/>
          <w:sz w:val="24"/>
          <w:szCs w:val="24"/>
        </w:rPr>
        <w:t xml:space="preserve"> in 2021</w:t>
      </w:r>
      <w:r w:rsidR="00334ECF" w:rsidRPr="00BB3D52">
        <w:rPr>
          <w:rFonts w:cs="Times New Roman"/>
          <w:sz w:val="24"/>
          <w:szCs w:val="24"/>
        </w:rPr>
        <w:t xml:space="preserve"> over 2020</w:t>
      </w:r>
      <w:r w:rsidR="00D0621E" w:rsidRPr="00BB3D52">
        <w:rPr>
          <w:rFonts w:cs="Times New Roman"/>
          <w:sz w:val="24"/>
          <w:szCs w:val="24"/>
        </w:rPr>
        <w:t>.</w:t>
      </w:r>
      <w:r w:rsidR="00DA121F">
        <w:rPr>
          <w:rFonts w:cs="Times New Roman"/>
          <w:sz w:val="24"/>
          <w:szCs w:val="24"/>
        </w:rPr>
        <w:t xml:space="preserve"> </w:t>
      </w:r>
      <w:r w:rsidR="00334ECF" w:rsidRPr="00BB3D52">
        <w:rPr>
          <w:rFonts w:cs="Times New Roman"/>
          <w:sz w:val="24"/>
          <w:szCs w:val="24"/>
        </w:rPr>
        <w:t>T</w:t>
      </w:r>
      <w:r w:rsidR="00475289" w:rsidRPr="00BB3D52">
        <w:rPr>
          <w:rFonts w:cs="Times New Roman"/>
          <w:sz w:val="24"/>
          <w:szCs w:val="24"/>
        </w:rPr>
        <w:t xml:space="preserve">his is due to an </w:t>
      </w:r>
      <w:r w:rsidR="00334ECF" w:rsidRPr="00BB3D52">
        <w:rPr>
          <w:rFonts w:cs="Times New Roman"/>
          <w:sz w:val="24"/>
          <w:szCs w:val="24"/>
        </w:rPr>
        <w:t>increase</w:t>
      </w:r>
      <w:r w:rsidR="00475289" w:rsidRPr="00BB3D52">
        <w:rPr>
          <w:rFonts w:cs="Times New Roman"/>
          <w:sz w:val="24"/>
          <w:szCs w:val="24"/>
        </w:rPr>
        <w:t xml:space="preserve"> in the percentage</w:t>
      </w:r>
      <w:r w:rsidR="00334ECF" w:rsidRPr="00BB3D52">
        <w:rPr>
          <w:rFonts w:cs="Times New Roman"/>
          <w:sz w:val="24"/>
          <w:szCs w:val="24"/>
        </w:rPr>
        <w:t xml:space="preserve"> </w:t>
      </w:r>
      <w:r w:rsidR="00D677AB">
        <w:rPr>
          <w:rFonts w:cs="Times New Roman"/>
          <w:sz w:val="24"/>
          <w:szCs w:val="24"/>
        </w:rPr>
        <w:t xml:space="preserve">of </w:t>
      </w:r>
      <w:r w:rsidR="00334ECF" w:rsidRPr="00BB3D52">
        <w:rPr>
          <w:rFonts w:cs="Times New Roman"/>
          <w:sz w:val="24"/>
          <w:szCs w:val="24"/>
        </w:rPr>
        <w:t>variable</w:t>
      </w:r>
      <w:r w:rsidR="00475289" w:rsidRPr="00BB3D52">
        <w:rPr>
          <w:rFonts w:cs="Times New Roman"/>
          <w:sz w:val="24"/>
          <w:szCs w:val="24"/>
        </w:rPr>
        <w:t>-rate debt, which stood at 25.8</w:t>
      </w:r>
      <w:r w:rsidR="001F0670" w:rsidRPr="00BB3D52">
        <w:rPr>
          <w:rFonts w:cs="Times New Roman"/>
          <w:sz w:val="24"/>
          <w:szCs w:val="24"/>
        </w:rPr>
        <w:t xml:space="preserve">% of total </w:t>
      </w:r>
      <w:r w:rsidR="00475289" w:rsidRPr="00BB3D52">
        <w:rPr>
          <w:rFonts w:cs="Times New Roman"/>
          <w:sz w:val="24"/>
          <w:szCs w:val="24"/>
        </w:rPr>
        <w:t xml:space="preserve">external </w:t>
      </w:r>
      <w:r w:rsidR="001F0670" w:rsidRPr="00BB3D52">
        <w:rPr>
          <w:rFonts w:cs="Times New Roman"/>
          <w:sz w:val="24"/>
          <w:szCs w:val="24"/>
        </w:rPr>
        <w:t xml:space="preserve">public sector debt at </w:t>
      </w:r>
      <w:r w:rsidR="00475289" w:rsidRPr="00BB3D52">
        <w:rPr>
          <w:rFonts w:cs="Times New Roman"/>
          <w:sz w:val="24"/>
          <w:szCs w:val="24"/>
        </w:rPr>
        <w:t>the end of 2021.</w:t>
      </w:r>
      <w:r w:rsidR="00B11D2A" w:rsidRPr="00BB3D52">
        <w:rPr>
          <w:rFonts w:cs="Times New Roman"/>
          <w:sz w:val="24"/>
          <w:szCs w:val="24"/>
        </w:rPr>
        <w:t xml:space="preserve"> A 132.4% upturn from 2020</w:t>
      </w:r>
      <w:r w:rsidR="001F0670" w:rsidRPr="00BB3D52">
        <w:rPr>
          <w:rFonts w:cs="Times New Roman"/>
          <w:sz w:val="24"/>
          <w:szCs w:val="24"/>
        </w:rPr>
        <w:t xml:space="preserve"> in the variable-rate debt </w:t>
      </w:r>
      <w:r w:rsidR="00B11D2A" w:rsidRPr="00BB3D52">
        <w:rPr>
          <w:rFonts w:cs="Times New Roman"/>
          <w:sz w:val="24"/>
          <w:szCs w:val="24"/>
        </w:rPr>
        <w:t>port</w:t>
      </w:r>
      <w:r w:rsidR="00D677AB">
        <w:rPr>
          <w:rFonts w:cs="Times New Roman"/>
          <w:sz w:val="24"/>
          <w:szCs w:val="24"/>
        </w:rPr>
        <w:t>folio is due to disbursements from</w:t>
      </w:r>
      <w:r w:rsidR="00B11D2A" w:rsidRPr="00BB3D52">
        <w:rPr>
          <w:rFonts w:cs="Times New Roman"/>
          <w:sz w:val="24"/>
          <w:szCs w:val="24"/>
        </w:rPr>
        <w:t xml:space="preserve"> the </w:t>
      </w:r>
      <w:r w:rsidR="002A634D" w:rsidRPr="00BB3D52">
        <w:rPr>
          <w:rFonts w:cs="Times New Roman"/>
          <w:sz w:val="24"/>
          <w:szCs w:val="24"/>
        </w:rPr>
        <w:t xml:space="preserve">ROCT EXIM-Bank </w:t>
      </w:r>
      <w:r w:rsidR="00DB389D">
        <w:rPr>
          <w:rFonts w:cs="Times New Roman"/>
          <w:sz w:val="24"/>
          <w:szCs w:val="24"/>
        </w:rPr>
        <w:t>HIARDP</w:t>
      </w:r>
      <w:r w:rsidR="00D677AB">
        <w:rPr>
          <w:rFonts w:cs="Times New Roman"/>
          <w:sz w:val="24"/>
          <w:szCs w:val="24"/>
        </w:rPr>
        <w:t xml:space="preserve"> loan. </w:t>
      </w:r>
      <w:r w:rsidR="0036382F">
        <w:rPr>
          <w:rFonts w:cs="Times New Roman"/>
          <w:sz w:val="24"/>
          <w:szCs w:val="24"/>
        </w:rPr>
        <w:t xml:space="preserve">The stock of interest-free debt also increased </w:t>
      </w:r>
      <w:r w:rsidR="00D677AB" w:rsidRPr="00BB3D52">
        <w:rPr>
          <w:rFonts w:cs="Times New Roman"/>
          <w:sz w:val="24"/>
          <w:szCs w:val="24"/>
        </w:rPr>
        <w:t>from 5.2% in 2020 to 6.</w:t>
      </w:r>
      <w:r w:rsidR="00D677AB">
        <w:rPr>
          <w:rFonts w:cs="Times New Roman"/>
          <w:sz w:val="24"/>
          <w:szCs w:val="24"/>
        </w:rPr>
        <w:t>1% in 2021</w:t>
      </w:r>
      <w:r w:rsidR="0036382F">
        <w:rPr>
          <w:rFonts w:cs="Times New Roman"/>
          <w:sz w:val="24"/>
          <w:szCs w:val="24"/>
        </w:rPr>
        <w:t xml:space="preserve"> owing mostly to an increase in CIP Bonds. </w:t>
      </w:r>
      <w:r w:rsidR="002B68C2">
        <w:rPr>
          <w:rFonts w:cs="Times New Roman"/>
          <w:sz w:val="24"/>
          <w:szCs w:val="24"/>
        </w:rPr>
        <w:t>(</w:t>
      </w:r>
      <w:r w:rsidR="00392EA2">
        <w:rPr>
          <w:rFonts w:cs="Times New Roman"/>
          <w:sz w:val="24"/>
          <w:szCs w:val="24"/>
        </w:rPr>
        <w:t>Figure</w:t>
      </w:r>
      <w:r w:rsidR="002B68C2">
        <w:rPr>
          <w:rFonts w:cs="Times New Roman"/>
          <w:sz w:val="24"/>
          <w:szCs w:val="24"/>
        </w:rPr>
        <w:t xml:space="preserve"> 9</w:t>
      </w:r>
      <w:r w:rsidR="00893B00" w:rsidRPr="00BB3D52">
        <w:rPr>
          <w:rFonts w:cs="Times New Roman"/>
          <w:sz w:val="24"/>
          <w:szCs w:val="24"/>
        </w:rPr>
        <w:t>)</w:t>
      </w:r>
      <w:r w:rsidR="002B68C2" w:rsidRPr="002B68C2">
        <w:rPr>
          <w:noProof/>
          <w:lang w:eastAsia="en-029"/>
        </w:rPr>
        <w:t xml:space="preserve"> </w:t>
      </w:r>
      <w:r w:rsidR="001F0670" w:rsidRPr="00BB3D52">
        <w:rPr>
          <w:rFonts w:cs="Times New Roman"/>
          <w:b/>
          <w:sz w:val="24"/>
          <w:szCs w:val="24"/>
        </w:rPr>
        <w:t xml:space="preserve"> </w:t>
      </w:r>
    </w:p>
    <w:p w14:paraId="5C02DFA8" w14:textId="77777777" w:rsidR="00165B97" w:rsidRPr="00BB3D52" w:rsidRDefault="00365B1B" w:rsidP="00E0795E">
      <w:pPr>
        <w:pStyle w:val="Heading2"/>
        <w:spacing w:line="360" w:lineRule="auto"/>
        <w:rPr>
          <w:rFonts w:cs="Times New Roman"/>
          <w:sz w:val="24"/>
          <w:szCs w:val="24"/>
        </w:rPr>
      </w:pPr>
      <w:bookmarkStart w:id="69" w:name="_Toc102558921"/>
      <w:r>
        <w:rPr>
          <w:rFonts w:cs="Times New Roman"/>
          <w:sz w:val="24"/>
          <w:szCs w:val="24"/>
        </w:rPr>
        <w:t>3.4</w:t>
      </w:r>
      <w:r w:rsidR="001F0670" w:rsidRPr="00BB3D52">
        <w:rPr>
          <w:rFonts w:cs="Times New Roman"/>
          <w:sz w:val="24"/>
          <w:szCs w:val="24"/>
        </w:rPr>
        <w:t xml:space="preserve"> External Debt by Creditor </w:t>
      </w:r>
      <w:bookmarkEnd w:id="57"/>
      <w:bookmarkEnd w:id="58"/>
      <w:bookmarkEnd w:id="59"/>
      <w:r w:rsidR="001F0670" w:rsidRPr="00BB3D52">
        <w:rPr>
          <w:rFonts w:cs="Times New Roman"/>
          <w:sz w:val="24"/>
          <w:szCs w:val="24"/>
        </w:rPr>
        <w:t>Category</w:t>
      </w:r>
      <w:bookmarkEnd w:id="69"/>
    </w:p>
    <w:bookmarkStart w:id="70" w:name="_Toc522289571"/>
    <w:p w14:paraId="754B1F72" w14:textId="7C45E146" w:rsidR="0078490E" w:rsidRPr="00BB3D52" w:rsidRDefault="00365B1B" w:rsidP="00E0795E">
      <w:pPr>
        <w:spacing w:line="360" w:lineRule="auto"/>
        <w:jc w:val="both"/>
        <w:rPr>
          <w:rFonts w:cs="Times New Roman"/>
          <w:sz w:val="24"/>
          <w:szCs w:val="24"/>
        </w:rPr>
      </w:pPr>
      <w:r>
        <w:rPr>
          <w:noProof/>
          <w:lang w:val="en-US"/>
        </w:rPr>
        <mc:AlternateContent>
          <mc:Choice Requires="wps">
            <w:drawing>
              <wp:anchor distT="0" distB="0" distL="114300" distR="114300" simplePos="0" relativeHeight="251710464" behindDoc="0" locked="0" layoutInCell="1" allowOverlap="1" wp14:anchorId="3F0D2C5F" wp14:editId="776C0B74">
                <wp:simplePos x="0" y="0"/>
                <wp:positionH relativeFrom="margin">
                  <wp:posOffset>3010728</wp:posOffset>
                </wp:positionH>
                <wp:positionV relativeFrom="paragraph">
                  <wp:posOffset>55162</wp:posOffset>
                </wp:positionV>
                <wp:extent cx="2495550" cy="180975"/>
                <wp:effectExtent l="0" t="0" r="0" b="9525"/>
                <wp:wrapSquare wrapText="bothSides"/>
                <wp:docPr id="38" name="Text Box 38"/>
                <wp:cNvGraphicFramePr/>
                <a:graphic xmlns:a="http://schemas.openxmlformats.org/drawingml/2006/main">
                  <a:graphicData uri="http://schemas.microsoft.com/office/word/2010/wordprocessingShape">
                    <wps:wsp>
                      <wps:cNvSpPr txBox="1"/>
                      <wps:spPr>
                        <a:xfrm>
                          <a:off x="0" y="0"/>
                          <a:ext cx="2495550" cy="180975"/>
                        </a:xfrm>
                        <a:prstGeom prst="rect">
                          <a:avLst/>
                        </a:prstGeom>
                        <a:solidFill>
                          <a:prstClr val="white"/>
                        </a:solidFill>
                        <a:ln>
                          <a:noFill/>
                        </a:ln>
                        <a:effectLst/>
                      </wps:spPr>
                      <wps:txbx>
                        <w:txbxContent>
                          <w:p w14:paraId="4218B3C4" w14:textId="77777777" w:rsidR="005C750A" w:rsidRPr="001E6F38" w:rsidRDefault="005C750A" w:rsidP="007976F6">
                            <w:pPr>
                              <w:rPr>
                                <w:noProof/>
                              </w:rPr>
                            </w:pPr>
                            <w:bookmarkStart w:id="71" w:name="_Toc102559780"/>
                            <w:bookmarkStart w:id="72" w:name="_Toc102560678"/>
                            <w:r w:rsidRPr="001E6F38">
                              <w:t xml:space="preserve">Figure </w:t>
                            </w:r>
                            <w:r w:rsidR="002E1637">
                              <w:fldChar w:fldCharType="begin"/>
                            </w:r>
                            <w:r w:rsidR="002E1637">
                              <w:instrText xml:space="preserve"> SEQ Figure \* ARABIC </w:instrText>
                            </w:r>
                            <w:r w:rsidR="002E1637">
                              <w:fldChar w:fldCharType="separate"/>
                            </w:r>
                            <w:r>
                              <w:rPr>
                                <w:noProof/>
                              </w:rPr>
                              <w:t>10</w:t>
                            </w:r>
                            <w:r w:rsidR="002E1637">
                              <w:rPr>
                                <w:noProof/>
                              </w:rPr>
                              <w:fldChar w:fldCharType="end"/>
                            </w:r>
                            <w:r w:rsidRPr="001E6F38">
                              <w:t xml:space="preserve">: </w:t>
                            </w:r>
                            <w:r w:rsidRPr="001E6F38">
                              <w:rPr>
                                <w:lang w:val="en-US"/>
                              </w:rPr>
                              <w:t>External Debt by Creditor Category 2021</w:t>
                            </w:r>
                            <w:bookmarkEnd w:id="71"/>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F0D2C5F" id="Text Box 38" o:spid="_x0000_s1040" type="#_x0000_t202" style="position:absolute;left:0;text-align:left;margin-left:237.05pt;margin-top:4.35pt;width:196.5pt;height:14.2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" stroked="f">
                <v:textbox inset="0,0,0,0">
                  <w:txbxContent>
                    <w:p w14:paraId="4218B3C4" w14:textId="77777777" w:rsidR="005C750A" w:rsidRPr="001E6F38" w:rsidRDefault="005C750A" w:rsidP="007976F6">
                      <w:pPr>
                        <w:rPr>
                          <w:noProof/>
                        </w:rPr>
                      </w:pPr>
                      <w:bookmarkStart w:id="91" w:name="_Toc102559780"/>
                      <w:bookmarkStart w:id="92" w:name="_Toc102560678"/>
                      <w:r w:rsidRPr="001E6F38">
                        <w:t xml:space="preserve">Figure </w:t>
                      </w:r>
                      <w:fldSimple w:instr=" SEQ Figure \* ARABIC ">
                        <w:r>
                          <w:rPr>
                            <w:noProof/>
                          </w:rPr>
                          <w:t>10</w:t>
                        </w:r>
                      </w:fldSimple>
                      <w:r w:rsidRPr="001E6F38">
                        <w:t xml:space="preserve">: </w:t>
                      </w:r>
                      <w:r w:rsidRPr="001E6F38">
                        <w:rPr>
                          <w:lang w:val="en-US"/>
                        </w:rPr>
                        <w:t>External Debt by Creditor Category 2021</w:t>
                      </w:r>
                      <w:bookmarkEnd w:id="91"/>
                      <w:bookmarkEnd w:id="92"/>
                    </w:p>
                  </w:txbxContent>
                </v:textbox>
                <w10:wrap type="square" anchorx="margin"/>
              </v:shape>
            </w:pict>
          </mc:Fallback>
        </mc:AlternateContent>
      </w:r>
      <w:r w:rsidR="00082947">
        <w:rPr>
          <w:noProof/>
          <w:lang w:val="en-US"/>
        </w:rPr>
        <w:drawing>
          <wp:anchor distT="0" distB="0" distL="114300" distR="114300" simplePos="0" relativeHeight="251666432" behindDoc="0" locked="0" layoutInCell="1" allowOverlap="1" wp14:anchorId="07006445" wp14:editId="351359BF">
            <wp:simplePos x="0" y="0"/>
            <wp:positionH relativeFrom="margin">
              <wp:align>right</wp:align>
            </wp:positionH>
            <wp:positionV relativeFrom="paragraph">
              <wp:posOffset>11430</wp:posOffset>
            </wp:positionV>
            <wp:extent cx="3291840" cy="2194560"/>
            <wp:effectExtent l="0" t="0" r="3810" b="0"/>
            <wp:wrapSquare wrapText="bothSides"/>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6F701D" w:rsidRPr="00BB3D52">
        <w:rPr>
          <w:rFonts w:cs="Times New Roman"/>
          <w:sz w:val="24"/>
          <w:szCs w:val="24"/>
        </w:rPr>
        <w:t>At the end of 2021</w:t>
      </w:r>
      <w:r w:rsidR="00C40ECD" w:rsidRPr="00BB3D52">
        <w:rPr>
          <w:rFonts w:cs="Times New Roman"/>
          <w:sz w:val="24"/>
          <w:szCs w:val="24"/>
        </w:rPr>
        <w:t>, multilateral creditors formed the larges</w:t>
      </w:r>
      <w:r w:rsidR="0050691E" w:rsidRPr="00BB3D52">
        <w:rPr>
          <w:rFonts w:cs="Times New Roman"/>
          <w:sz w:val="24"/>
          <w:szCs w:val="24"/>
        </w:rPr>
        <w:t xml:space="preserve">t creditor </w:t>
      </w:r>
      <w:r w:rsidR="000D5FC2" w:rsidRPr="00BB3D52">
        <w:rPr>
          <w:rFonts w:cs="Times New Roman"/>
          <w:sz w:val="24"/>
          <w:szCs w:val="24"/>
        </w:rPr>
        <w:t>category with $1,080.24</w:t>
      </w:r>
      <w:r w:rsidR="006F701D" w:rsidRPr="00BB3D52">
        <w:rPr>
          <w:rFonts w:cs="Times New Roman"/>
          <w:sz w:val="24"/>
          <w:szCs w:val="24"/>
        </w:rPr>
        <w:t>M or a 47.2</w:t>
      </w:r>
      <w:r w:rsidR="00C40ECD" w:rsidRPr="00BB3D52">
        <w:rPr>
          <w:rFonts w:cs="Times New Roman"/>
          <w:sz w:val="24"/>
          <w:szCs w:val="24"/>
        </w:rPr>
        <w:t>% share</w:t>
      </w:r>
      <w:r w:rsidR="00443658">
        <w:rPr>
          <w:rFonts w:cs="Times New Roman"/>
          <w:sz w:val="24"/>
          <w:szCs w:val="24"/>
        </w:rPr>
        <w:t xml:space="preserve"> of the external debt</w:t>
      </w:r>
      <w:r w:rsidR="00C40ECD" w:rsidRPr="00BB3D52">
        <w:rPr>
          <w:rFonts w:cs="Times New Roman"/>
          <w:sz w:val="24"/>
          <w:szCs w:val="24"/>
        </w:rPr>
        <w:t>.</w:t>
      </w:r>
      <w:r w:rsidR="00C40ECD" w:rsidRPr="00BB3D52">
        <w:rPr>
          <w:rFonts w:cs="Times New Roman"/>
          <w:color w:val="FF0000"/>
          <w:sz w:val="24"/>
          <w:szCs w:val="24"/>
        </w:rPr>
        <w:t xml:space="preserve"> </w:t>
      </w:r>
      <w:r w:rsidR="00C40ECD" w:rsidRPr="00BB3D52">
        <w:rPr>
          <w:rFonts w:cs="Times New Roman"/>
          <w:sz w:val="24"/>
          <w:szCs w:val="24"/>
        </w:rPr>
        <w:t xml:space="preserve">Bilateral creditors were the second </w:t>
      </w:r>
      <w:r w:rsidR="006F701D" w:rsidRPr="00BB3D52">
        <w:rPr>
          <w:rFonts w:cs="Times New Roman"/>
          <w:sz w:val="24"/>
          <w:szCs w:val="24"/>
        </w:rPr>
        <w:t>largest contributor with $318.7</w:t>
      </w:r>
      <w:r w:rsidR="00D93ADD">
        <w:rPr>
          <w:rFonts w:cs="Times New Roman"/>
          <w:sz w:val="24"/>
          <w:szCs w:val="24"/>
        </w:rPr>
        <w:t>M. Insurance Funds were</w:t>
      </w:r>
      <w:r w:rsidR="00C40ECD" w:rsidRPr="00BB3D52">
        <w:rPr>
          <w:rFonts w:cs="Times New Roman"/>
          <w:sz w:val="24"/>
          <w:szCs w:val="24"/>
        </w:rPr>
        <w:t xml:space="preserve"> the other creditor category exceeding 10</w:t>
      </w:r>
      <w:r w:rsidR="0050691E" w:rsidRPr="00BB3D52">
        <w:rPr>
          <w:rFonts w:cs="Times New Roman"/>
          <w:sz w:val="24"/>
          <w:szCs w:val="24"/>
        </w:rPr>
        <w:t>.0</w:t>
      </w:r>
      <w:r w:rsidR="00C40ECD" w:rsidRPr="00BB3D52">
        <w:rPr>
          <w:rFonts w:cs="Times New Roman"/>
          <w:sz w:val="24"/>
          <w:szCs w:val="24"/>
        </w:rPr>
        <w:t>% of the external portfolio</w:t>
      </w:r>
      <w:r w:rsidR="006F701D" w:rsidRPr="00BB3D52">
        <w:rPr>
          <w:rFonts w:cs="Times New Roman"/>
          <w:sz w:val="24"/>
          <w:szCs w:val="24"/>
        </w:rPr>
        <w:t xml:space="preserve"> with $235.0</w:t>
      </w:r>
      <w:r w:rsidR="00C40ECD" w:rsidRPr="00BB3D52">
        <w:rPr>
          <w:rFonts w:cs="Times New Roman"/>
          <w:sz w:val="24"/>
          <w:szCs w:val="24"/>
        </w:rPr>
        <w:t>M.</w:t>
      </w:r>
      <w:r w:rsidR="00FE5353" w:rsidRPr="00BB3D52">
        <w:rPr>
          <w:rFonts w:cs="Times New Roman"/>
          <w:sz w:val="24"/>
          <w:szCs w:val="24"/>
        </w:rPr>
        <w:t xml:space="preserve"> </w:t>
      </w:r>
      <w:r w:rsidR="00190814" w:rsidRPr="00BB3D52">
        <w:rPr>
          <w:rFonts w:cs="Times New Roman"/>
          <w:sz w:val="24"/>
          <w:szCs w:val="24"/>
        </w:rPr>
        <w:t>(</w:t>
      </w:r>
      <w:r w:rsidR="00392EA2">
        <w:rPr>
          <w:rFonts w:cs="Times New Roman"/>
          <w:sz w:val="24"/>
          <w:szCs w:val="24"/>
        </w:rPr>
        <w:t>Figure</w:t>
      </w:r>
      <w:r w:rsidR="002B68C2">
        <w:rPr>
          <w:rFonts w:cs="Times New Roman"/>
          <w:sz w:val="24"/>
          <w:szCs w:val="24"/>
        </w:rPr>
        <w:t xml:space="preserve"> 10</w:t>
      </w:r>
      <w:r w:rsidR="00165B97" w:rsidRPr="00BB3D52">
        <w:rPr>
          <w:rFonts w:cs="Times New Roman"/>
          <w:sz w:val="24"/>
          <w:szCs w:val="24"/>
        </w:rPr>
        <w:t>)</w:t>
      </w:r>
      <w:bookmarkStart w:id="73" w:name="_Toc522289573"/>
      <w:bookmarkStart w:id="74" w:name="_Toc947402"/>
      <w:bookmarkStart w:id="75" w:name="_Toc25228997"/>
      <w:bookmarkEnd w:id="70"/>
      <w:r w:rsidR="00082947" w:rsidRPr="00082947">
        <w:rPr>
          <w:noProof/>
          <w:lang w:eastAsia="en-029"/>
        </w:rPr>
        <w:t xml:space="preserve"> </w:t>
      </w:r>
    </w:p>
    <w:p w14:paraId="5E025C70" w14:textId="77777777" w:rsidR="00E34C90" w:rsidRPr="00BB3D52" w:rsidRDefault="00E34C90" w:rsidP="00E0795E">
      <w:pPr>
        <w:spacing w:line="360" w:lineRule="auto"/>
        <w:jc w:val="both"/>
        <w:rPr>
          <w:rFonts w:cs="Times New Roman"/>
          <w:b/>
          <w:sz w:val="24"/>
          <w:szCs w:val="24"/>
        </w:rPr>
      </w:pPr>
    </w:p>
    <w:p w14:paraId="1BA110A1" w14:textId="77777777" w:rsidR="00165B97" w:rsidRPr="00BB3D52" w:rsidRDefault="00365B1B" w:rsidP="00E0795E">
      <w:pPr>
        <w:pStyle w:val="Heading2"/>
        <w:spacing w:line="360" w:lineRule="auto"/>
        <w:rPr>
          <w:rFonts w:cs="Times New Roman"/>
          <w:sz w:val="24"/>
          <w:szCs w:val="24"/>
        </w:rPr>
      </w:pPr>
      <w:bookmarkStart w:id="76" w:name="_Toc102558922"/>
      <w:r>
        <w:rPr>
          <w:rFonts w:cs="Times New Roman"/>
          <w:sz w:val="24"/>
          <w:szCs w:val="24"/>
        </w:rPr>
        <w:t>3.5</w:t>
      </w:r>
      <w:r w:rsidR="001F0670" w:rsidRPr="00BB3D52">
        <w:rPr>
          <w:rFonts w:cs="Times New Roman"/>
          <w:sz w:val="24"/>
          <w:szCs w:val="24"/>
        </w:rPr>
        <w:t xml:space="preserve"> External Debt by Instrument</w:t>
      </w:r>
      <w:bookmarkEnd w:id="73"/>
      <w:bookmarkEnd w:id="74"/>
      <w:bookmarkEnd w:id="75"/>
      <w:bookmarkEnd w:id="76"/>
    </w:p>
    <w:p w14:paraId="0D079F19" w14:textId="77777777" w:rsidR="0078490E" w:rsidRDefault="00365B1B" w:rsidP="00E0795E">
      <w:pPr>
        <w:spacing w:line="360" w:lineRule="auto"/>
        <w:jc w:val="both"/>
        <w:rPr>
          <w:noProof/>
          <w:lang w:eastAsia="en-029"/>
        </w:rPr>
      </w:pPr>
      <w:r>
        <w:rPr>
          <w:noProof/>
          <w:lang w:val="en-US"/>
        </w:rPr>
        <mc:AlternateContent>
          <mc:Choice Requires="wps">
            <w:drawing>
              <wp:anchor distT="0" distB="0" distL="114300" distR="114300" simplePos="0" relativeHeight="251712512" behindDoc="0" locked="0" layoutInCell="1" allowOverlap="1" wp14:anchorId="4266D472" wp14:editId="7DF0EE01">
                <wp:simplePos x="0" y="0"/>
                <wp:positionH relativeFrom="margin">
                  <wp:posOffset>2981325</wp:posOffset>
                </wp:positionH>
                <wp:positionV relativeFrom="paragraph">
                  <wp:posOffset>1086485</wp:posOffset>
                </wp:positionV>
                <wp:extent cx="2333625" cy="142875"/>
                <wp:effectExtent l="0" t="0" r="9525" b="9525"/>
                <wp:wrapSquare wrapText="bothSides"/>
                <wp:docPr id="39" name="Text Box 39"/>
                <wp:cNvGraphicFramePr/>
                <a:graphic xmlns:a="http://schemas.openxmlformats.org/drawingml/2006/main">
                  <a:graphicData uri="http://schemas.microsoft.com/office/word/2010/wordprocessingShape">
                    <wps:wsp>
                      <wps:cNvSpPr txBox="1"/>
                      <wps:spPr>
                        <a:xfrm>
                          <a:off x="0" y="0"/>
                          <a:ext cx="2333625" cy="142875"/>
                        </a:xfrm>
                        <a:prstGeom prst="rect">
                          <a:avLst/>
                        </a:prstGeom>
                        <a:solidFill>
                          <a:prstClr val="white"/>
                        </a:solidFill>
                        <a:ln>
                          <a:noFill/>
                        </a:ln>
                        <a:effectLst/>
                      </wps:spPr>
                      <wps:txbx>
                        <w:txbxContent>
                          <w:p w14:paraId="6C979578" w14:textId="77777777" w:rsidR="005C750A" w:rsidRPr="003C50D1" w:rsidRDefault="005C750A" w:rsidP="007976F6">
                            <w:pPr>
                              <w:rPr>
                                <w:noProof/>
                              </w:rPr>
                            </w:pPr>
                            <w:bookmarkStart w:id="77" w:name="_Toc102559781"/>
                            <w:bookmarkStart w:id="78" w:name="_Toc102560679"/>
                            <w:r w:rsidRPr="003C50D1">
                              <w:t xml:space="preserve">Figure </w:t>
                            </w:r>
                            <w:r w:rsidR="002E1637">
                              <w:fldChar w:fldCharType="begin"/>
                            </w:r>
                            <w:r w:rsidR="002E1637">
                              <w:instrText xml:space="preserve"> SEQ Figure \* ARABIC </w:instrText>
                            </w:r>
                            <w:r w:rsidR="002E1637">
                              <w:fldChar w:fldCharType="separate"/>
                            </w:r>
                            <w:r>
                              <w:rPr>
                                <w:noProof/>
                              </w:rPr>
                              <w:t>11</w:t>
                            </w:r>
                            <w:r w:rsidR="002E1637">
                              <w:rPr>
                                <w:noProof/>
                              </w:rPr>
                              <w:fldChar w:fldCharType="end"/>
                            </w:r>
                            <w:r w:rsidRPr="003C50D1">
                              <w:t xml:space="preserve">: </w:t>
                            </w:r>
                            <w:r w:rsidRPr="003C50D1">
                              <w:rPr>
                                <w:kern w:val="24"/>
                                <w:lang w:val="en-US"/>
                              </w:rPr>
                              <w:t>External Debt by Instrument 2017-2021</w:t>
                            </w:r>
                            <w:bookmarkEnd w:id="77"/>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266D472" id="Text Box 39" o:spid="_x0000_s1041" type="#_x0000_t202" style="position:absolute;left:0;text-align:left;margin-left:234.75pt;margin-top:85.55pt;width:183.75pt;height:11.2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" stroked="f">
                <v:textbox inset="0,0,0,0">
                  <w:txbxContent>
                    <w:p w14:paraId="6C979578" w14:textId="77777777" w:rsidR="005C750A" w:rsidRPr="003C50D1" w:rsidRDefault="005C750A" w:rsidP="007976F6">
                      <w:pPr>
                        <w:rPr>
                          <w:noProof/>
                        </w:rPr>
                      </w:pPr>
                      <w:bookmarkStart w:id="99" w:name="_Toc102559781"/>
                      <w:bookmarkStart w:id="100" w:name="_Toc102560679"/>
                      <w:r w:rsidRPr="003C50D1">
                        <w:t xml:space="preserve">Figure </w:t>
                      </w:r>
                      <w:fldSimple w:instr=" SEQ Figure \* ARABIC ">
                        <w:r>
                          <w:rPr>
                            <w:noProof/>
                          </w:rPr>
                          <w:t>11</w:t>
                        </w:r>
                      </w:fldSimple>
                      <w:r w:rsidRPr="003C50D1">
                        <w:t xml:space="preserve">: </w:t>
                      </w:r>
                      <w:r w:rsidRPr="003C50D1">
                        <w:rPr>
                          <w:kern w:val="24"/>
                          <w:lang w:val="en-US"/>
                        </w:rPr>
                        <w:t>External Debt by Instrument 2017-2021</w:t>
                      </w:r>
                      <w:bookmarkEnd w:id="99"/>
                      <w:bookmarkEnd w:id="100"/>
                    </w:p>
                  </w:txbxContent>
                </v:textbox>
                <w10:wrap type="square" anchorx="margin"/>
              </v:shape>
            </w:pict>
          </mc:Fallback>
        </mc:AlternateContent>
      </w:r>
      <w:r w:rsidR="00781767">
        <w:rPr>
          <w:noProof/>
          <w:lang w:val="en-US"/>
        </w:rPr>
        <w:drawing>
          <wp:anchor distT="0" distB="0" distL="114300" distR="114300" simplePos="0" relativeHeight="251667456" behindDoc="0" locked="0" layoutInCell="1" allowOverlap="1" wp14:anchorId="1EE79F57" wp14:editId="36D89390">
            <wp:simplePos x="0" y="0"/>
            <wp:positionH relativeFrom="margin">
              <wp:align>right</wp:align>
            </wp:positionH>
            <wp:positionV relativeFrom="paragraph">
              <wp:posOffset>1056557</wp:posOffset>
            </wp:positionV>
            <wp:extent cx="3474720" cy="1920240"/>
            <wp:effectExtent l="0" t="0" r="0" b="3810"/>
            <wp:wrapSquare wrapText="bothSides"/>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AB6666" w:rsidRPr="00BB3D52">
        <w:rPr>
          <w:rFonts w:cs="Times New Roman"/>
          <w:sz w:val="24"/>
          <w:szCs w:val="24"/>
        </w:rPr>
        <w:t>At the end of 2021</w:t>
      </w:r>
      <w:r w:rsidR="001F0670" w:rsidRPr="00BB3D52">
        <w:rPr>
          <w:rFonts w:cs="Times New Roman"/>
          <w:sz w:val="24"/>
          <w:szCs w:val="24"/>
        </w:rPr>
        <w:t>, loans dominated the</w:t>
      </w:r>
      <w:r w:rsidR="00AB6666" w:rsidRPr="00BB3D52">
        <w:rPr>
          <w:rFonts w:cs="Times New Roman"/>
          <w:sz w:val="24"/>
          <w:szCs w:val="24"/>
        </w:rPr>
        <w:t xml:space="preserve"> external portfolio with a 60</w:t>
      </w:r>
      <w:r w:rsidR="007C1AD0" w:rsidRPr="00BB3D52">
        <w:rPr>
          <w:rFonts w:cs="Times New Roman"/>
          <w:sz w:val="24"/>
          <w:szCs w:val="24"/>
        </w:rPr>
        <w:t>.4% share, increasing by $328.48</w:t>
      </w:r>
      <w:r w:rsidR="00AB6666" w:rsidRPr="00BB3D52">
        <w:rPr>
          <w:rFonts w:cs="Times New Roman"/>
          <w:sz w:val="24"/>
          <w:szCs w:val="24"/>
        </w:rPr>
        <w:t>M or 31.1% over 2020</w:t>
      </w:r>
      <w:r w:rsidR="001F0670" w:rsidRPr="00BB3D52">
        <w:rPr>
          <w:rFonts w:cs="Times New Roman"/>
          <w:sz w:val="24"/>
          <w:szCs w:val="24"/>
        </w:rPr>
        <w:t>.</w:t>
      </w:r>
      <w:r w:rsidR="00AB6666" w:rsidRPr="00BB3D52">
        <w:rPr>
          <w:rFonts w:cs="Times New Roman"/>
          <w:color w:val="FF0000"/>
          <w:sz w:val="24"/>
          <w:szCs w:val="24"/>
        </w:rPr>
        <w:t xml:space="preserve"> </w:t>
      </w:r>
      <w:r w:rsidR="00AB6666" w:rsidRPr="00BB3D52">
        <w:rPr>
          <w:rFonts w:cs="Times New Roman"/>
          <w:sz w:val="24"/>
          <w:szCs w:val="24"/>
        </w:rPr>
        <w:t xml:space="preserve">This is due mainly to </w:t>
      </w:r>
      <w:r w:rsidR="001F0670" w:rsidRPr="00BB3D52">
        <w:rPr>
          <w:rFonts w:cs="Times New Roman"/>
          <w:sz w:val="24"/>
          <w:szCs w:val="24"/>
        </w:rPr>
        <w:t>disbursements</w:t>
      </w:r>
      <w:r w:rsidR="00AB6666" w:rsidRPr="00BB3D52">
        <w:rPr>
          <w:rFonts w:cs="Times New Roman"/>
          <w:sz w:val="24"/>
          <w:szCs w:val="24"/>
        </w:rPr>
        <w:t xml:space="preserve"> on loans contracted in the previous year</w:t>
      </w:r>
      <w:r w:rsidR="00781767" w:rsidRPr="00BB3D52">
        <w:rPr>
          <w:rFonts w:cs="Times New Roman"/>
          <w:sz w:val="24"/>
          <w:szCs w:val="24"/>
        </w:rPr>
        <w:t xml:space="preserve">. </w:t>
      </w:r>
      <w:r w:rsidR="001F0670" w:rsidRPr="00BB3D52">
        <w:rPr>
          <w:rFonts w:cs="Times New Roman"/>
          <w:sz w:val="24"/>
          <w:szCs w:val="24"/>
        </w:rPr>
        <w:t>Bonds and Treasur</w:t>
      </w:r>
      <w:r w:rsidR="00327CFC" w:rsidRPr="00BB3D52">
        <w:rPr>
          <w:rFonts w:cs="Times New Roman"/>
          <w:sz w:val="24"/>
          <w:szCs w:val="24"/>
        </w:rPr>
        <w:t>y bills made up 28.7% and 10.9</w:t>
      </w:r>
      <w:r w:rsidR="001F0670" w:rsidRPr="00BB3D52">
        <w:rPr>
          <w:rFonts w:cs="Times New Roman"/>
          <w:sz w:val="24"/>
          <w:szCs w:val="24"/>
        </w:rPr>
        <w:t>%</w:t>
      </w:r>
      <w:r w:rsidR="00327CFC" w:rsidRPr="00BB3D52">
        <w:rPr>
          <w:rFonts w:cs="Times New Roman"/>
          <w:sz w:val="24"/>
          <w:szCs w:val="24"/>
        </w:rPr>
        <w:t xml:space="preserve"> respectively</w:t>
      </w:r>
      <w:r w:rsidR="001F0670" w:rsidRPr="00BB3D52">
        <w:rPr>
          <w:rFonts w:cs="Times New Roman"/>
          <w:sz w:val="24"/>
          <w:szCs w:val="24"/>
        </w:rPr>
        <w:t xml:space="preserve"> of the external portfolio.</w:t>
      </w:r>
      <w:r w:rsidR="001F0670" w:rsidRPr="00BB3D52">
        <w:rPr>
          <w:rFonts w:cs="Times New Roman"/>
          <w:color w:val="FF0000"/>
          <w:sz w:val="24"/>
          <w:szCs w:val="24"/>
        </w:rPr>
        <w:t xml:space="preserve"> </w:t>
      </w:r>
      <w:r w:rsidR="001F0670" w:rsidRPr="00BB3D52">
        <w:rPr>
          <w:rFonts w:cs="Times New Roman"/>
          <w:sz w:val="24"/>
          <w:szCs w:val="24"/>
        </w:rPr>
        <w:t>The stock of external securities (treasury bills, b</w:t>
      </w:r>
      <w:r w:rsidR="00556FF5" w:rsidRPr="00BB3D52">
        <w:rPr>
          <w:rFonts w:cs="Times New Roman"/>
          <w:sz w:val="24"/>
          <w:szCs w:val="24"/>
        </w:rPr>
        <w:t>onds, and notes) increased by 1.6% to $906.17M compared to the end of 2020</w:t>
      </w:r>
      <w:r w:rsidR="001F0670" w:rsidRPr="00BB3D52">
        <w:rPr>
          <w:rFonts w:cs="Times New Roman"/>
          <w:sz w:val="24"/>
          <w:szCs w:val="24"/>
        </w:rPr>
        <w:t>. The RGSM sec</w:t>
      </w:r>
      <w:r w:rsidR="000D2857" w:rsidRPr="00BB3D52">
        <w:rPr>
          <w:rFonts w:cs="Times New Roman"/>
          <w:sz w:val="24"/>
          <w:szCs w:val="24"/>
        </w:rPr>
        <w:t>urity portfolio declined by 0</w:t>
      </w:r>
      <w:r w:rsidR="0050691E" w:rsidRPr="00BB3D52">
        <w:rPr>
          <w:rFonts w:cs="Times New Roman"/>
          <w:sz w:val="24"/>
          <w:szCs w:val="24"/>
        </w:rPr>
        <w:t>.1</w:t>
      </w:r>
      <w:r w:rsidR="000D2857" w:rsidRPr="00BB3D52">
        <w:rPr>
          <w:rFonts w:cs="Times New Roman"/>
          <w:sz w:val="24"/>
          <w:szCs w:val="24"/>
        </w:rPr>
        <w:t>2</w:t>
      </w:r>
      <w:r w:rsidR="001F0670" w:rsidRPr="00BB3D52">
        <w:rPr>
          <w:rFonts w:cs="Times New Roman"/>
          <w:sz w:val="24"/>
          <w:szCs w:val="24"/>
        </w:rPr>
        <w:t>%</w:t>
      </w:r>
      <w:r w:rsidR="000D2857" w:rsidRPr="00BB3D52">
        <w:rPr>
          <w:rFonts w:cs="Times New Roman"/>
          <w:sz w:val="24"/>
          <w:szCs w:val="24"/>
        </w:rPr>
        <w:t xml:space="preserve"> to $337.75M</w:t>
      </w:r>
      <w:r w:rsidR="001F0670" w:rsidRPr="00BB3D52">
        <w:rPr>
          <w:rFonts w:cs="Times New Roman"/>
          <w:sz w:val="24"/>
          <w:szCs w:val="24"/>
        </w:rPr>
        <w:t xml:space="preserve"> during the year, while the private place</w:t>
      </w:r>
      <w:r w:rsidR="000D2857" w:rsidRPr="00BB3D52">
        <w:rPr>
          <w:rFonts w:cs="Times New Roman"/>
          <w:sz w:val="24"/>
          <w:szCs w:val="24"/>
        </w:rPr>
        <w:t>ment portfolio increased by 2.4</w:t>
      </w:r>
      <w:r w:rsidR="001F0670" w:rsidRPr="00BB3D52">
        <w:rPr>
          <w:rFonts w:cs="Times New Roman"/>
          <w:sz w:val="24"/>
          <w:szCs w:val="24"/>
        </w:rPr>
        <w:t>%</w:t>
      </w:r>
      <w:r w:rsidR="000D2857" w:rsidRPr="00BB3D52">
        <w:rPr>
          <w:rFonts w:cs="Times New Roman"/>
          <w:sz w:val="24"/>
          <w:szCs w:val="24"/>
        </w:rPr>
        <w:t xml:space="preserve"> to $566.80M</w:t>
      </w:r>
      <w:r w:rsidR="001F0670" w:rsidRPr="00BB3D52">
        <w:rPr>
          <w:rFonts w:cs="Times New Roman"/>
          <w:sz w:val="24"/>
          <w:szCs w:val="24"/>
        </w:rPr>
        <w:t>.</w:t>
      </w:r>
      <w:r w:rsidR="001F0670" w:rsidRPr="00BB3D52">
        <w:rPr>
          <w:rFonts w:cs="Times New Roman"/>
          <w:color w:val="FF0000"/>
          <w:sz w:val="24"/>
          <w:szCs w:val="24"/>
        </w:rPr>
        <w:t xml:space="preserve"> </w:t>
      </w:r>
      <w:r w:rsidR="001F0670" w:rsidRPr="00BB3D52">
        <w:rPr>
          <w:rFonts w:cs="Times New Roman"/>
          <w:sz w:val="24"/>
          <w:szCs w:val="24"/>
        </w:rPr>
        <w:t>Private bonds and n</w:t>
      </w:r>
      <w:r w:rsidR="000D2857" w:rsidRPr="00BB3D52">
        <w:rPr>
          <w:rFonts w:cs="Times New Roman"/>
          <w:sz w:val="24"/>
          <w:szCs w:val="24"/>
        </w:rPr>
        <w:t>otes decreased by $5.88M or 1.38</w:t>
      </w:r>
      <w:r w:rsidR="00D8650C" w:rsidRPr="00BB3D52">
        <w:rPr>
          <w:rFonts w:cs="Times New Roman"/>
          <w:sz w:val="24"/>
          <w:szCs w:val="24"/>
        </w:rPr>
        <w:t xml:space="preserve">% while </w:t>
      </w:r>
      <w:r w:rsidR="001F0670" w:rsidRPr="00BB3D52">
        <w:rPr>
          <w:rFonts w:cs="Times New Roman"/>
          <w:sz w:val="24"/>
          <w:szCs w:val="24"/>
        </w:rPr>
        <w:t>T</w:t>
      </w:r>
      <w:r w:rsidR="000D2857" w:rsidRPr="00BB3D52">
        <w:rPr>
          <w:rFonts w:cs="Times New Roman"/>
          <w:sz w:val="24"/>
          <w:szCs w:val="24"/>
        </w:rPr>
        <w:t>reasury bills increased by $19.17M or 15.1</w:t>
      </w:r>
      <w:r w:rsidR="001F0670" w:rsidRPr="00BB3D52">
        <w:rPr>
          <w:rFonts w:cs="Times New Roman"/>
          <w:sz w:val="24"/>
          <w:szCs w:val="24"/>
        </w:rPr>
        <w:t xml:space="preserve">%. Investor appetites veered towards shorter-term investments contrasting the </w:t>
      </w:r>
      <w:r w:rsidR="00DD5C0B">
        <w:rPr>
          <w:rFonts w:cs="Times New Roman"/>
          <w:sz w:val="24"/>
          <w:szCs w:val="24"/>
        </w:rPr>
        <w:t>GOSL</w:t>
      </w:r>
      <w:r w:rsidR="001F0670" w:rsidRPr="00BB3D52">
        <w:rPr>
          <w:rFonts w:cs="Times New Roman"/>
          <w:sz w:val="24"/>
          <w:szCs w:val="24"/>
        </w:rPr>
        <w:t>'s strategy of rolling over short-term Treasury bills into medium-term instruments.</w:t>
      </w:r>
      <w:r w:rsidR="00C93A27" w:rsidRPr="00BB3D52">
        <w:rPr>
          <w:rFonts w:cs="Times New Roman"/>
          <w:sz w:val="24"/>
          <w:szCs w:val="24"/>
        </w:rPr>
        <w:t xml:space="preserve"> </w:t>
      </w:r>
      <w:r w:rsidR="00781767">
        <w:rPr>
          <w:rFonts w:cs="Times New Roman"/>
          <w:sz w:val="24"/>
          <w:szCs w:val="24"/>
        </w:rPr>
        <w:t>(</w:t>
      </w:r>
      <w:r w:rsidR="00392EA2">
        <w:rPr>
          <w:rFonts w:cs="Times New Roman"/>
          <w:sz w:val="24"/>
          <w:szCs w:val="24"/>
        </w:rPr>
        <w:t>Figure</w:t>
      </w:r>
      <w:r w:rsidR="00781767">
        <w:rPr>
          <w:rFonts w:cs="Times New Roman"/>
          <w:sz w:val="24"/>
          <w:szCs w:val="24"/>
        </w:rPr>
        <w:t xml:space="preserve"> 11</w:t>
      </w:r>
      <w:r w:rsidR="001F0670" w:rsidRPr="00BB3D52">
        <w:rPr>
          <w:rFonts w:cs="Times New Roman"/>
          <w:sz w:val="24"/>
          <w:szCs w:val="24"/>
        </w:rPr>
        <w:t>)</w:t>
      </w:r>
      <w:r w:rsidR="00781767" w:rsidRPr="00781767">
        <w:rPr>
          <w:noProof/>
          <w:lang w:eastAsia="en-029"/>
        </w:rPr>
        <w:t xml:space="preserve"> </w:t>
      </w:r>
    </w:p>
    <w:p w14:paraId="786F34CE" w14:textId="77777777" w:rsidR="005D76D6" w:rsidRDefault="005D76D6" w:rsidP="00E0795E">
      <w:pPr>
        <w:spacing w:line="360" w:lineRule="auto"/>
        <w:jc w:val="both"/>
        <w:rPr>
          <w:noProof/>
          <w:lang w:eastAsia="en-029"/>
        </w:rPr>
      </w:pPr>
    </w:p>
    <w:p w14:paraId="5D49C1EA" w14:textId="77777777" w:rsidR="005D76D6" w:rsidRDefault="005D76D6" w:rsidP="00E0795E">
      <w:pPr>
        <w:spacing w:line="360" w:lineRule="auto"/>
        <w:jc w:val="both"/>
        <w:rPr>
          <w:noProof/>
          <w:lang w:eastAsia="en-029"/>
        </w:rPr>
      </w:pPr>
    </w:p>
    <w:p w14:paraId="71A10A3E" w14:textId="77777777" w:rsidR="005D76D6" w:rsidRDefault="005D76D6" w:rsidP="00E0795E">
      <w:pPr>
        <w:spacing w:line="360" w:lineRule="auto"/>
        <w:jc w:val="both"/>
        <w:rPr>
          <w:noProof/>
          <w:lang w:eastAsia="en-029"/>
        </w:rPr>
      </w:pPr>
    </w:p>
    <w:p w14:paraId="4A12DD5D" w14:textId="77777777" w:rsidR="005D76D6" w:rsidRPr="005D76D6" w:rsidRDefault="005D76D6" w:rsidP="00E0795E">
      <w:pPr>
        <w:spacing w:line="360" w:lineRule="auto"/>
        <w:jc w:val="both"/>
        <w:rPr>
          <w:rFonts w:cs="Times New Roman"/>
          <w:sz w:val="24"/>
          <w:szCs w:val="24"/>
        </w:rPr>
      </w:pPr>
    </w:p>
    <w:p w14:paraId="50C327E7" w14:textId="77777777" w:rsidR="00165B97" w:rsidRPr="00BB3D52" w:rsidRDefault="00365B1B" w:rsidP="00E0795E">
      <w:pPr>
        <w:pStyle w:val="Heading2"/>
        <w:spacing w:line="360" w:lineRule="auto"/>
        <w:rPr>
          <w:rFonts w:cs="Times New Roman"/>
          <w:sz w:val="24"/>
          <w:szCs w:val="24"/>
        </w:rPr>
      </w:pPr>
      <w:bookmarkStart w:id="79" w:name="_Toc102558923"/>
      <w:r>
        <w:rPr>
          <w:rFonts w:cs="Times New Roman"/>
          <w:sz w:val="24"/>
          <w:szCs w:val="24"/>
        </w:rPr>
        <w:t>3.6</w:t>
      </w:r>
      <w:r w:rsidR="001F0670" w:rsidRPr="00BB3D52">
        <w:rPr>
          <w:rFonts w:cs="Times New Roman"/>
          <w:sz w:val="24"/>
          <w:szCs w:val="24"/>
        </w:rPr>
        <w:t xml:space="preserve"> External Debt by Economic Sector</w:t>
      </w:r>
      <w:bookmarkEnd w:id="79"/>
    </w:p>
    <w:p w14:paraId="69DEB111" w14:textId="2BCB7AD9" w:rsidR="00CE6A5A" w:rsidRPr="005D76D6" w:rsidRDefault="00365B1B" w:rsidP="00E0795E">
      <w:pPr>
        <w:spacing w:line="360" w:lineRule="auto"/>
        <w:jc w:val="both"/>
        <w:rPr>
          <w:rFonts w:cs="Times New Roman"/>
          <w:sz w:val="24"/>
          <w:szCs w:val="24"/>
        </w:rPr>
      </w:pPr>
      <w:r>
        <w:rPr>
          <w:noProof/>
          <w:lang w:val="en-US"/>
        </w:rPr>
        <mc:AlternateContent>
          <mc:Choice Requires="wps">
            <w:drawing>
              <wp:anchor distT="0" distB="0" distL="114300" distR="114300" simplePos="0" relativeHeight="251714560" behindDoc="0" locked="0" layoutInCell="1" allowOverlap="1" wp14:anchorId="2DA1D5AD" wp14:editId="348F29F0">
                <wp:simplePos x="0" y="0"/>
                <wp:positionH relativeFrom="margin">
                  <wp:posOffset>3011142</wp:posOffset>
                </wp:positionH>
                <wp:positionV relativeFrom="paragraph">
                  <wp:posOffset>80010</wp:posOffset>
                </wp:positionV>
                <wp:extent cx="2419350" cy="123825"/>
                <wp:effectExtent l="0" t="0" r="0" b="9525"/>
                <wp:wrapSquare wrapText="bothSides"/>
                <wp:docPr id="41" name="Text Box 41"/>
                <wp:cNvGraphicFramePr/>
                <a:graphic xmlns:a="http://schemas.openxmlformats.org/drawingml/2006/main">
                  <a:graphicData uri="http://schemas.microsoft.com/office/word/2010/wordprocessingShape">
                    <wps:wsp>
                      <wps:cNvSpPr txBox="1"/>
                      <wps:spPr>
                        <a:xfrm>
                          <a:off x="0" y="0"/>
                          <a:ext cx="2419350" cy="123825"/>
                        </a:xfrm>
                        <a:prstGeom prst="rect">
                          <a:avLst/>
                        </a:prstGeom>
                        <a:solidFill>
                          <a:prstClr val="white"/>
                        </a:solidFill>
                        <a:ln>
                          <a:noFill/>
                        </a:ln>
                        <a:effectLst/>
                      </wps:spPr>
                      <wps:txbx>
                        <w:txbxContent>
                          <w:p w14:paraId="60E26769" w14:textId="77777777" w:rsidR="005C750A" w:rsidRPr="00670800" w:rsidRDefault="005C750A" w:rsidP="007976F6">
                            <w:pPr>
                              <w:rPr>
                                <w:noProof/>
                              </w:rPr>
                            </w:pPr>
                            <w:bookmarkStart w:id="80" w:name="_Toc102559782"/>
                            <w:bookmarkStart w:id="81" w:name="_Toc102560680"/>
                            <w:r w:rsidRPr="00670800">
                              <w:t xml:space="preserve">Figure </w:t>
                            </w:r>
                            <w:r w:rsidR="002E1637">
                              <w:fldChar w:fldCharType="begin"/>
                            </w:r>
                            <w:r w:rsidR="002E1637">
                              <w:instrText xml:space="preserve"> SEQ Figure \* ARABIC </w:instrText>
                            </w:r>
                            <w:r w:rsidR="002E1637">
                              <w:fldChar w:fldCharType="separate"/>
                            </w:r>
                            <w:r>
                              <w:rPr>
                                <w:noProof/>
                              </w:rPr>
                              <w:t>12</w:t>
                            </w:r>
                            <w:r w:rsidR="002E1637">
                              <w:rPr>
                                <w:noProof/>
                              </w:rPr>
                              <w:fldChar w:fldCharType="end"/>
                            </w:r>
                            <w:r w:rsidRPr="00670800">
                              <w:t>: External Debt By Economic Sector 2021</w:t>
                            </w:r>
                            <w:bookmarkEnd w:id="80"/>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DA1D5AD" id="Text Box 41" o:spid="_x0000_s1042" type="#_x0000_t202" style="position:absolute;left:0;text-align:left;margin-left:237.1pt;margin-top:6.3pt;width:190.5pt;height:9.7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" stroked="f">
                <v:textbox inset="0,0,0,0">
                  <w:txbxContent>
                    <w:p w14:paraId="60E26769" w14:textId="77777777" w:rsidR="005C750A" w:rsidRPr="00670800" w:rsidRDefault="005C750A" w:rsidP="007976F6">
                      <w:pPr>
                        <w:rPr>
                          <w:noProof/>
                        </w:rPr>
                      </w:pPr>
                      <w:bookmarkStart w:id="104" w:name="_Toc102559782"/>
                      <w:bookmarkStart w:id="105" w:name="_Toc102560680"/>
                      <w:r w:rsidRPr="00670800">
                        <w:t xml:space="preserve">Figure </w:t>
                      </w:r>
                      <w:fldSimple w:instr=" SEQ Figure \* ARABIC ">
                        <w:r>
                          <w:rPr>
                            <w:noProof/>
                          </w:rPr>
                          <w:t>12</w:t>
                        </w:r>
                      </w:fldSimple>
                      <w:r w:rsidRPr="00670800">
                        <w:t>: External Debt By Economic Sector 2021</w:t>
                      </w:r>
                      <w:bookmarkEnd w:id="104"/>
                      <w:bookmarkEnd w:id="105"/>
                    </w:p>
                  </w:txbxContent>
                </v:textbox>
                <w10:wrap type="square" anchorx="margin"/>
              </v:shape>
            </w:pict>
          </mc:Fallback>
        </mc:AlternateContent>
      </w:r>
      <w:r w:rsidR="0033616F">
        <w:rPr>
          <w:noProof/>
          <w:lang w:val="en-US"/>
        </w:rPr>
        <w:drawing>
          <wp:anchor distT="0" distB="0" distL="114300" distR="114300" simplePos="0" relativeHeight="251668480" behindDoc="0" locked="0" layoutInCell="1" allowOverlap="1" wp14:anchorId="734898BA" wp14:editId="43180EC8">
            <wp:simplePos x="0" y="0"/>
            <wp:positionH relativeFrom="margin">
              <wp:align>right</wp:align>
            </wp:positionH>
            <wp:positionV relativeFrom="paragraph">
              <wp:posOffset>9525</wp:posOffset>
            </wp:positionV>
            <wp:extent cx="3474720" cy="2194560"/>
            <wp:effectExtent l="0" t="0" r="0" b="0"/>
            <wp:wrapSquare wrapText="bothSides"/>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00C40ECD" w:rsidRPr="00BB3D52">
        <w:rPr>
          <w:rFonts w:cs="Times New Roman"/>
          <w:sz w:val="24"/>
          <w:szCs w:val="24"/>
        </w:rPr>
        <w:t xml:space="preserve">At </w:t>
      </w:r>
      <w:r w:rsidR="00FE4B0F" w:rsidRPr="00BB3D52">
        <w:rPr>
          <w:rFonts w:cs="Times New Roman"/>
          <w:sz w:val="24"/>
          <w:szCs w:val="24"/>
        </w:rPr>
        <w:t xml:space="preserve">the </w:t>
      </w:r>
      <w:r w:rsidR="00C40ECD" w:rsidRPr="00BB3D52">
        <w:rPr>
          <w:rFonts w:cs="Times New Roman"/>
          <w:sz w:val="24"/>
          <w:szCs w:val="24"/>
        </w:rPr>
        <w:t xml:space="preserve">end </w:t>
      </w:r>
      <w:r w:rsidR="00FE4B0F" w:rsidRPr="00BB3D52">
        <w:rPr>
          <w:rFonts w:cs="Times New Roman"/>
          <w:sz w:val="24"/>
          <w:szCs w:val="24"/>
        </w:rPr>
        <w:t xml:space="preserve">of </w:t>
      </w:r>
      <w:r w:rsidR="00CE6A5A" w:rsidRPr="00BB3D52">
        <w:rPr>
          <w:rFonts w:cs="Times New Roman"/>
          <w:sz w:val="24"/>
          <w:szCs w:val="24"/>
        </w:rPr>
        <w:t>December 2021</w:t>
      </w:r>
      <w:r w:rsidR="00C40ECD" w:rsidRPr="00BB3D52">
        <w:rPr>
          <w:rFonts w:cs="Times New Roman"/>
          <w:sz w:val="24"/>
          <w:szCs w:val="24"/>
        </w:rPr>
        <w:t xml:space="preserve">, the largest share of outstanding government borrowings from external sources </w:t>
      </w:r>
      <w:r w:rsidR="00CE6A5A" w:rsidRPr="00BB3D52">
        <w:rPr>
          <w:rFonts w:cs="Times New Roman"/>
          <w:sz w:val="24"/>
          <w:szCs w:val="24"/>
        </w:rPr>
        <w:t>was in the Finance, Insurance</w:t>
      </w:r>
      <w:r w:rsidR="00FE4B0F" w:rsidRPr="00BB3D52">
        <w:rPr>
          <w:rFonts w:cs="Times New Roman"/>
          <w:sz w:val="24"/>
          <w:szCs w:val="24"/>
        </w:rPr>
        <w:t xml:space="preserve"> industry</w:t>
      </w:r>
      <w:r w:rsidR="00CE6A5A" w:rsidRPr="00BB3D52">
        <w:rPr>
          <w:rFonts w:cs="Times New Roman"/>
          <w:sz w:val="24"/>
          <w:szCs w:val="24"/>
        </w:rPr>
        <w:t xml:space="preserve"> (55.</w:t>
      </w:r>
      <w:r w:rsidR="00443658">
        <w:rPr>
          <w:rFonts w:cs="Times New Roman"/>
          <w:sz w:val="24"/>
          <w:szCs w:val="24"/>
        </w:rPr>
        <w:t>8</w:t>
      </w:r>
      <w:r w:rsidR="00C40ECD" w:rsidRPr="00BB3D52">
        <w:rPr>
          <w:rFonts w:cs="Times New Roman"/>
          <w:sz w:val="24"/>
          <w:szCs w:val="24"/>
        </w:rPr>
        <w:t xml:space="preserve">%), the other </w:t>
      </w:r>
      <w:r w:rsidR="00CE6A5A" w:rsidRPr="00BB3D52">
        <w:rPr>
          <w:rFonts w:cs="Times New Roman"/>
          <w:sz w:val="24"/>
          <w:szCs w:val="24"/>
        </w:rPr>
        <w:t>major beneficiary sectors were Health &amp; Social Welfare (1</w:t>
      </w:r>
      <w:r w:rsidR="00443658">
        <w:rPr>
          <w:rFonts w:cs="Times New Roman"/>
          <w:sz w:val="24"/>
          <w:szCs w:val="24"/>
        </w:rPr>
        <w:t>4.1</w:t>
      </w:r>
      <w:r w:rsidR="00CE6A5A" w:rsidRPr="00BB3D52">
        <w:rPr>
          <w:rFonts w:cs="Times New Roman"/>
          <w:sz w:val="24"/>
          <w:szCs w:val="24"/>
        </w:rPr>
        <w:t>%); Roads &amp; Bridges (9.</w:t>
      </w:r>
      <w:r w:rsidR="00443658">
        <w:rPr>
          <w:rFonts w:cs="Times New Roman"/>
          <w:sz w:val="24"/>
          <w:szCs w:val="24"/>
        </w:rPr>
        <w:t>4</w:t>
      </w:r>
      <w:r w:rsidR="00C40ECD" w:rsidRPr="00BB3D52">
        <w:rPr>
          <w:rFonts w:cs="Times New Roman"/>
          <w:sz w:val="24"/>
          <w:szCs w:val="24"/>
        </w:rPr>
        <w:t>%</w:t>
      </w:r>
      <w:r w:rsidR="00CE6A5A" w:rsidRPr="00BB3D52">
        <w:rPr>
          <w:rFonts w:cs="Times New Roman"/>
          <w:sz w:val="24"/>
          <w:szCs w:val="24"/>
        </w:rPr>
        <w:t>), Utilities (6.</w:t>
      </w:r>
      <w:r w:rsidR="00443658">
        <w:rPr>
          <w:rFonts w:cs="Times New Roman"/>
          <w:sz w:val="24"/>
          <w:szCs w:val="24"/>
        </w:rPr>
        <w:t>2</w:t>
      </w:r>
      <w:r w:rsidR="00142A0B" w:rsidRPr="00BB3D52">
        <w:rPr>
          <w:rFonts w:cs="Times New Roman"/>
          <w:sz w:val="24"/>
          <w:szCs w:val="24"/>
        </w:rPr>
        <w:t>%</w:t>
      </w:r>
      <w:r w:rsidR="00CE6A5A" w:rsidRPr="00BB3D52">
        <w:rPr>
          <w:rFonts w:cs="Times New Roman"/>
          <w:sz w:val="24"/>
          <w:szCs w:val="24"/>
        </w:rPr>
        <w:t>) and Education &amp; Training (5.</w:t>
      </w:r>
      <w:r w:rsidR="00443658">
        <w:rPr>
          <w:rFonts w:cs="Times New Roman"/>
          <w:sz w:val="24"/>
          <w:szCs w:val="24"/>
        </w:rPr>
        <w:t>5</w:t>
      </w:r>
      <w:r w:rsidR="00142A0B" w:rsidRPr="00BB3D52">
        <w:rPr>
          <w:rFonts w:cs="Times New Roman"/>
          <w:sz w:val="24"/>
          <w:szCs w:val="24"/>
        </w:rPr>
        <w:t>%)</w:t>
      </w:r>
      <w:r w:rsidR="006C3C15" w:rsidRPr="00BB3D52">
        <w:rPr>
          <w:rFonts w:cs="Times New Roman"/>
          <w:sz w:val="24"/>
          <w:szCs w:val="24"/>
        </w:rPr>
        <w:t>.</w:t>
      </w:r>
      <w:r w:rsidR="00142A0B" w:rsidRPr="00BB3D52">
        <w:rPr>
          <w:rFonts w:cs="Times New Roman"/>
          <w:sz w:val="24"/>
          <w:szCs w:val="24"/>
        </w:rPr>
        <w:t xml:space="preserve"> (</w:t>
      </w:r>
      <w:r w:rsidR="00392EA2">
        <w:rPr>
          <w:rFonts w:cs="Times New Roman"/>
          <w:sz w:val="24"/>
          <w:szCs w:val="24"/>
        </w:rPr>
        <w:t>Figure</w:t>
      </w:r>
      <w:r w:rsidR="005D76D6">
        <w:rPr>
          <w:rFonts w:cs="Times New Roman"/>
          <w:sz w:val="24"/>
          <w:szCs w:val="24"/>
        </w:rPr>
        <w:t xml:space="preserve"> 12</w:t>
      </w:r>
      <w:r w:rsidR="00C40ECD" w:rsidRPr="00BB3D52">
        <w:rPr>
          <w:rFonts w:cs="Times New Roman"/>
          <w:sz w:val="24"/>
          <w:szCs w:val="24"/>
        </w:rPr>
        <w:t>)</w:t>
      </w:r>
      <w:r w:rsidR="005D76D6" w:rsidRPr="005D76D6">
        <w:rPr>
          <w:noProof/>
          <w:lang w:eastAsia="en-029"/>
        </w:rPr>
        <w:t xml:space="preserve"> </w:t>
      </w:r>
    </w:p>
    <w:p w14:paraId="1F3BC573" w14:textId="77777777" w:rsidR="00A407E2" w:rsidRPr="00BB3D52" w:rsidRDefault="00365B1B" w:rsidP="00E0795E">
      <w:pPr>
        <w:pStyle w:val="Heading1"/>
        <w:spacing w:line="360" w:lineRule="auto"/>
        <w:rPr>
          <w:rFonts w:cs="Times New Roman"/>
          <w:noProof/>
          <w:sz w:val="24"/>
          <w:szCs w:val="24"/>
          <w:lang w:eastAsia="en-029"/>
        </w:rPr>
      </w:pPr>
      <w:bookmarkStart w:id="82" w:name="_Toc102558924"/>
      <w:r w:rsidRPr="00BB3D52">
        <w:rPr>
          <w:rFonts w:cs="Times New Roman"/>
          <w:sz w:val="24"/>
          <w:szCs w:val="24"/>
        </w:rPr>
        <w:t>4. Central Government Debt</w:t>
      </w:r>
      <w:bookmarkEnd w:id="82"/>
      <w:r w:rsidRPr="00BB3D52">
        <w:rPr>
          <w:rFonts w:cs="Times New Roman"/>
          <w:sz w:val="24"/>
          <w:szCs w:val="24"/>
        </w:rPr>
        <w:t xml:space="preserve"> </w:t>
      </w:r>
    </w:p>
    <w:p w14:paraId="5312924F" w14:textId="77777777" w:rsidR="00A730AB" w:rsidRPr="00BB3D52" w:rsidRDefault="00365B1B" w:rsidP="00E0795E">
      <w:pPr>
        <w:pStyle w:val="Heading2"/>
        <w:spacing w:line="360" w:lineRule="auto"/>
        <w:rPr>
          <w:rFonts w:cs="Times New Roman"/>
          <w:sz w:val="24"/>
          <w:szCs w:val="24"/>
        </w:rPr>
      </w:pPr>
      <w:bookmarkStart w:id="83" w:name="_Toc102558925"/>
      <w:r w:rsidRPr="00BB3D52">
        <w:rPr>
          <w:rFonts w:cs="Times New Roman"/>
          <w:sz w:val="24"/>
          <w:szCs w:val="24"/>
        </w:rPr>
        <w:t xml:space="preserve">4.1 </w:t>
      </w:r>
      <w:r w:rsidR="00D263F7" w:rsidRPr="00BB3D52">
        <w:rPr>
          <w:rFonts w:cs="Times New Roman"/>
          <w:sz w:val="24"/>
          <w:szCs w:val="24"/>
        </w:rPr>
        <w:t>Central Government</w:t>
      </w:r>
      <w:r w:rsidR="00D9040B" w:rsidRPr="00BB3D52">
        <w:rPr>
          <w:rFonts w:cs="Times New Roman"/>
          <w:sz w:val="24"/>
          <w:szCs w:val="24"/>
        </w:rPr>
        <w:t xml:space="preserve"> Debt</w:t>
      </w:r>
      <w:r w:rsidR="00D263F7" w:rsidRPr="00BB3D52">
        <w:rPr>
          <w:rFonts w:cs="Times New Roman"/>
          <w:sz w:val="24"/>
          <w:szCs w:val="24"/>
        </w:rPr>
        <w:t xml:space="preserve"> by </w:t>
      </w:r>
      <w:r w:rsidR="006700C0" w:rsidRPr="00BB3D52">
        <w:rPr>
          <w:rFonts w:cs="Times New Roman"/>
          <w:sz w:val="24"/>
          <w:szCs w:val="24"/>
        </w:rPr>
        <w:t>Residency</w:t>
      </w:r>
      <w:bookmarkEnd w:id="83"/>
    </w:p>
    <w:p w14:paraId="0A83D01F" w14:textId="77777777" w:rsidR="006700C0" w:rsidRPr="00F666A4" w:rsidRDefault="00365B1B" w:rsidP="00E0795E">
      <w:pPr>
        <w:spacing w:line="360" w:lineRule="auto"/>
        <w:jc w:val="both"/>
        <w:rPr>
          <w:rFonts w:cs="Times New Roman"/>
          <w:b/>
          <w:sz w:val="24"/>
          <w:szCs w:val="24"/>
        </w:rPr>
      </w:pPr>
      <w:r>
        <w:rPr>
          <w:noProof/>
          <w:lang w:val="en-US"/>
        </w:rPr>
        <mc:AlternateContent>
          <mc:Choice Requires="wps">
            <w:drawing>
              <wp:anchor distT="0" distB="0" distL="114300" distR="114300" simplePos="0" relativeHeight="251716608" behindDoc="0" locked="0" layoutInCell="1" allowOverlap="1" wp14:anchorId="0CFBE833" wp14:editId="3707A254">
                <wp:simplePos x="0" y="0"/>
                <wp:positionH relativeFrom="margin">
                  <wp:posOffset>2847975</wp:posOffset>
                </wp:positionH>
                <wp:positionV relativeFrom="paragraph">
                  <wp:posOffset>8255</wp:posOffset>
                </wp:positionV>
                <wp:extent cx="2952750" cy="13335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2952750" cy="133350"/>
                        </a:xfrm>
                        <a:prstGeom prst="rect">
                          <a:avLst/>
                        </a:prstGeom>
                        <a:solidFill>
                          <a:prstClr val="white"/>
                        </a:solidFill>
                        <a:ln>
                          <a:noFill/>
                        </a:ln>
                        <a:effectLst/>
                      </wps:spPr>
                      <wps:txbx>
                        <w:txbxContent>
                          <w:p w14:paraId="46019861" w14:textId="77777777" w:rsidR="005C750A" w:rsidRPr="00CA73AA" w:rsidRDefault="005C750A" w:rsidP="007976F6">
                            <w:pPr>
                              <w:rPr>
                                <w:noProof/>
                              </w:rPr>
                            </w:pPr>
                            <w:bookmarkStart w:id="84" w:name="_Toc102559783"/>
                            <w:bookmarkStart w:id="85" w:name="_Toc102560681"/>
                            <w:r w:rsidRPr="00CA73AA">
                              <w:t xml:space="preserve">Figure </w:t>
                            </w:r>
                            <w:r w:rsidR="002E1637">
                              <w:fldChar w:fldCharType="begin"/>
                            </w:r>
                            <w:r w:rsidR="002E1637">
                              <w:instrText xml:space="preserve"> SEQ Figure \* ARABIC </w:instrText>
                            </w:r>
                            <w:r w:rsidR="002E1637">
                              <w:fldChar w:fldCharType="separate"/>
                            </w:r>
                            <w:r>
                              <w:rPr>
                                <w:noProof/>
                              </w:rPr>
                              <w:t>13</w:t>
                            </w:r>
                            <w:r w:rsidR="002E1637">
                              <w:rPr>
                                <w:noProof/>
                              </w:rPr>
                              <w:fldChar w:fldCharType="end"/>
                            </w:r>
                            <w:r w:rsidRPr="00CA73AA">
                              <w:t>:  Central Government Debt by Residency 2017-2021</w:t>
                            </w:r>
                            <w:bookmarkEnd w:id="84"/>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CFBE833" id="Text Box 42" o:spid="_x0000_s1043" type="#_x0000_t202" style="position:absolute;left:0;text-align:left;margin-left:224.25pt;margin-top:.65pt;width:232.5pt;height:10.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" stroked="f">
                <v:textbox inset="0,0,0,0">
                  <w:txbxContent>
                    <w:p w14:paraId="46019861" w14:textId="77777777" w:rsidR="005C750A" w:rsidRPr="00CA73AA" w:rsidRDefault="005C750A" w:rsidP="007976F6">
                      <w:pPr>
                        <w:rPr>
                          <w:noProof/>
                        </w:rPr>
                      </w:pPr>
                      <w:bookmarkStart w:id="110" w:name="_Toc102559783"/>
                      <w:bookmarkStart w:id="111" w:name="_Toc102560681"/>
                      <w:r w:rsidRPr="00CA73AA">
                        <w:t xml:space="preserve">Figure </w:t>
                      </w:r>
                      <w:fldSimple w:instr=" SEQ Figure \* ARABIC ">
                        <w:r>
                          <w:rPr>
                            <w:noProof/>
                          </w:rPr>
                          <w:t>13</w:t>
                        </w:r>
                      </w:fldSimple>
                      <w:r w:rsidRPr="00CA73AA">
                        <w:t>:  Central Government Debt by Residency 2017-2021</w:t>
                      </w:r>
                      <w:bookmarkEnd w:id="110"/>
                      <w:bookmarkEnd w:id="111"/>
                    </w:p>
                  </w:txbxContent>
                </v:textbox>
                <w10:wrap type="square" anchorx="margin"/>
              </v:shape>
            </w:pict>
          </mc:Fallback>
        </mc:AlternateContent>
      </w:r>
      <w:r w:rsidR="005D76D6">
        <w:rPr>
          <w:noProof/>
          <w:lang w:val="en-US"/>
        </w:rPr>
        <w:drawing>
          <wp:anchor distT="0" distB="0" distL="114300" distR="114300" simplePos="0" relativeHeight="251669504" behindDoc="0" locked="0" layoutInCell="1" allowOverlap="1" wp14:anchorId="3AEB3407" wp14:editId="6C37BD44">
            <wp:simplePos x="0" y="0"/>
            <wp:positionH relativeFrom="margin">
              <wp:align>right</wp:align>
            </wp:positionH>
            <wp:positionV relativeFrom="paragraph">
              <wp:posOffset>7788</wp:posOffset>
            </wp:positionV>
            <wp:extent cx="3291840" cy="1920240"/>
            <wp:effectExtent l="0" t="0" r="0" b="0"/>
            <wp:wrapSquare wrapText="bothSides"/>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00E74C81" w:rsidRPr="00BB3D52">
        <w:rPr>
          <w:rFonts w:cs="Times New Roman"/>
          <w:sz w:val="24"/>
          <w:szCs w:val="24"/>
        </w:rPr>
        <w:t>Central government debt totaled $3,864.35M at the end of December 2021, increasing by $303.22M or 8.5</w:t>
      </w:r>
      <w:r w:rsidR="000F33BD" w:rsidRPr="00BB3D52">
        <w:rPr>
          <w:rFonts w:cs="Times New Roman"/>
          <w:sz w:val="24"/>
          <w:szCs w:val="24"/>
        </w:rPr>
        <w:t>% from December 2020</w:t>
      </w:r>
      <w:r w:rsidR="0005738C" w:rsidRPr="00BB3D52">
        <w:rPr>
          <w:rFonts w:cs="Times New Roman"/>
          <w:sz w:val="24"/>
          <w:szCs w:val="24"/>
        </w:rPr>
        <w:t xml:space="preserve"> and on av</w:t>
      </w:r>
      <w:r w:rsidR="000F33BD" w:rsidRPr="00BB3D52">
        <w:rPr>
          <w:rFonts w:cs="Times New Roman"/>
          <w:sz w:val="24"/>
          <w:szCs w:val="24"/>
        </w:rPr>
        <w:t>erage of 6.7% over the previous five</w:t>
      </w:r>
      <w:r w:rsidR="0005738C" w:rsidRPr="00BB3D52">
        <w:rPr>
          <w:rFonts w:cs="Times New Roman"/>
          <w:sz w:val="24"/>
          <w:szCs w:val="24"/>
        </w:rPr>
        <w:t xml:space="preserve"> years</w:t>
      </w:r>
      <w:r w:rsidR="00E74C81" w:rsidRPr="00BB3D52">
        <w:rPr>
          <w:rFonts w:cs="Times New Roman"/>
          <w:sz w:val="24"/>
          <w:szCs w:val="24"/>
        </w:rPr>
        <w:t>.</w:t>
      </w:r>
      <w:r w:rsidR="00E74C81" w:rsidRPr="00BB3D52">
        <w:rPr>
          <w:rFonts w:cs="Times New Roman"/>
          <w:color w:val="FF0000"/>
          <w:sz w:val="24"/>
          <w:szCs w:val="24"/>
        </w:rPr>
        <w:t xml:space="preserve"> </w:t>
      </w:r>
      <w:r w:rsidR="00E74C81" w:rsidRPr="00BB3D52">
        <w:rPr>
          <w:rFonts w:cs="Times New Roman"/>
          <w:sz w:val="24"/>
          <w:szCs w:val="24"/>
        </w:rPr>
        <w:t>At the end of December 2021, the domestic debt portfolio stood at $1,689.85M or 43.7% of the central government debt stock increasing by $</w:t>
      </w:r>
      <w:r w:rsidR="000F33BD" w:rsidRPr="00BB3D52">
        <w:rPr>
          <w:rFonts w:cs="Times New Roman"/>
          <w:sz w:val="24"/>
          <w:szCs w:val="24"/>
        </w:rPr>
        <w:t>9.68</w:t>
      </w:r>
      <w:r w:rsidR="00E74C81" w:rsidRPr="00BB3D52">
        <w:rPr>
          <w:rFonts w:cs="Times New Roman"/>
          <w:sz w:val="24"/>
          <w:szCs w:val="24"/>
        </w:rPr>
        <w:t xml:space="preserve">M from </w:t>
      </w:r>
      <w:r w:rsidR="000F33BD" w:rsidRPr="00BB3D52">
        <w:rPr>
          <w:rFonts w:cs="Times New Roman"/>
          <w:sz w:val="24"/>
          <w:szCs w:val="24"/>
        </w:rPr>
        <w:t>December 2020</w:t>
      </w:r>
      <w:r w:rsidR="00E74C81" w:rsidRPr="00BB3D52">
        <w:rPr>
          <w:rFonts w:cs="Times New Roman"/>
          <w:sz w:val="24"/>
          <w:szCs w:val="24"/>
        </w:rPr>
        <w:t>. External debt stood at $2,174.50M at the end of December 2021,</w:t>
      </w:r>
      <w:r w:rsidR="000F33BD" w:rsidRPr="00BB3D52">
        <w:rPr>
          <w:rFonts w:cs="Times New Roman"/>
          <w:sz w:val="24"/>
          <w:szCs w:val="24"/>
        </w:rPr>
        <w:t xml:space="preserve"> representing</w:t>
      </w:r>
      <w:r w:rsidR="00E74C81" w:rsidRPr="00BB3D52">
        <w:rPr>
          <w:rFonts w:cs="Times New Roman"/>
          <w:sz w:val="24"/>
          <w:szCs w:val="24"/>
        </w:rPr>
        <w:t xml:space="preserve"> 56.3% of the central government debt stock increasing by $</w:t>
      </w:r>
      <w:r w:rsidR="000F33BD" w:rsidRPr="00BB3D52">
        <w:rPr>
          <w:rFonts w:cs="Times New Roman"/>
          <w:sz w:val="24"/>
          <w:szCs w:val="24"/>
        </w:rPr>
        <w:t>293.54</w:t>
      </w:r>
      <w:r w:rsidR="00E74C81" w:rsidRPr="00BB3D52">
        <w:rPr>
          <w:rFonts w:cs="Times New Roman"/>
          <w:sz w:val="24"/>
          <w:szCs w:val="24"/>
        </w:rPr>
        <w:t xml:space="preserve">M over </w:t>
      </w:r>
      <w:r w:rsidR="000F33BD" w:rsidRPr="00BB3D52">
        <w:rPr>
          <w:rFonts w:cs="Times New Roman"/>
          <w:sz w:val="24"/>
          <w:szCs w:val="24"/>
        </w:rPr>
        <w:t>December 2020.</w:t>
      </w:r>
      <w:r w:rsidR="005D76D6">
        <w:rPr>
          <w:rFonts w:cs="Times New Roman"/>
          <w:sz w:val="24"/>
          <w:szCs w:val="24"/>
        </w:rPr>
        <w:t xml:space="preserve"> (</w:t>
      </w:r>
      <w:r w:rsidR="00392EA2">
        <w:rPr>
          <w:rFonts w:cs="Times New Roman"/>
          <w:sz w:val="24"/>
          <w:szCs w:val="24"/>
        </w:rPr>
        <w:t>Figure</w:t>
      </w:r>
      <w:r w:rsidR="005D76D6">
        <w:rPr>
          <w:rFonts w:cs="Times New Roman"/>
          <w:sz w:val="24"/>
          <w:szCs w:val="24"/>
        </w:rPr>
        <w:t xml:space="preserve"> 13)</w:t>
      </w:r>
    </w:p>
    <w:p w14:paraId="7DD3EC8E" w14:textId="77777777" w:rsidR="006700C0" w:rsidRPr="00BB3D52" w:rsidRDefault="00365B1B" w:rsidP="00E0795E">
      <w:pPr>
        <w:pStyle w:val="Heading2"/>
        <w:spacing w:line="360" w:lineRule="auto"/>
        <w:rPr>
          <w:rFonts w:cs="Times New Roman"/>
          <w:sz w:val="24"/>
          <w:szCs w:val="24"/>
        </w:rPr>
      </w:pPr>
      <w:bookmarkStart w:id="86" w:name="_Toc102558926"/>
      <w:r w:rsidRPr="00BB3D52">
        <w:rPr>
          <w:rFonts w:cs="Times New Roman"/>
          <w:sz w:val="24"/>
          <w:szCs w:val="24"/>
        </w:rPr>
        <w:t>4</w:t>
      </w:r>
      <w:r w:rsidR="009A19F8" w:rsidRPr="00BB3D52">
        <w:rPr>
          <w:rFonts w:cs="Times New Roman"/>
          <w:sz w:val="24"/>
          <w:szCs w:val="24"/>
        </w:rPr>
        <w:t>.2</w:t>
      </w:r>
      <w:r w:rsidRPr="00BB3D52">
        <w:rPr>
          <w:rFonts w:cs="Times New Roman"/>
          <w:sz w:val="24"/>
          <w:szCs w:val="24"/>
        </w:rPr>
        <w:t xml:space="preserve"> Central Government</w:t>
      </w:r>
      <w:r w:rsidR="00D9040B" w:rsidRPr="00BB3D52">
        <w:rPr>
          <w:rFonts w:cs="Times New Roman"/>
          <w:sz w:val="24"/>
          <w:szCs w:val="24"/>
        </w:rPr>
        <w:t xml:space="preserve"> Debt</w:t>
      </w:r>
      <w:r w:rsidRPr="00BB3D52">
        <w:rPr>
          <w:rFonts w:cs="Times New Roman"/>
          <w:sz w:val="24"/>
          <w:szCs w:val="24"/>
        </w:rPr>
        <w:t xml:space="preserve"> by Instrument</w:t>
      </w:r>
      <w:bookmarkEnd w:id="86"/>
    </w:p>
    <w:p w14:paraId="462705BD" w14:textId="2B32150E" w:rsidR="006700C0" w:rsidRPr="00BB3D52" w:rsidRDefault="00365B1B" w:rsidP="00E0795E">
      <w:pPr>
        <w:spacing w:line="360" w:lineRule="auto"/>
        <w:jc w:val="both"/>
        <w:rPr>
          <w:rFonts w:cs="Times New Roman"/>
          <w:sz w:val="24"/>
          <w:szCs w:val="24"/>
        </w:rPr>
      </w:pPr>
      <w:r>
        <w:rPr>
          <w:noProof/>
          <w:lang w:val="en-US"/>
        </w:rPr>
        <mc:AlternateContent>
          <mc:Choice Requires="wps">
            <w:drawing>
              <wp:anchor distT="0" distB="0" distL="114300" distR="114300" simplePos="0" relativeHeight="251718656" behindDoc="0" locked="0" layoutInCell="1" allowOverlap="1" wp14:anchorId="3164D9E8" wp14:editId="05086B08">
                <wp:simplePos x="0" y="0"/>
                <wp:positionH relativeFrom="margin">
                  <wp:posOffset>2847975</wp:posOffset>
                </wp:positionH>
                <wp:positionV relativeFrom="paragraph">
                  <wp:posOffset>80010</wp:posOffset>
                </wp:positionV>
                <wp:extent cx="2924175" cy="114300"/>
                <wp:effectExtent l="0" t="0" r="9525" b="0"/>
                <wp:wrapSquare wrapText="bothSides"/>
                <wp:docPr id="43" name="Text Box 43"/>
                <wp:cNvGraphicFramePr/>
                <a:graphic xmlns:a="http://schemas.openxmlformats.org/drawingml/2006/main">
                  <a:graphicData uri="http://schemas.microsoft.com/office/word/2010/wordprocessingShape">
                    <wps:wsp>
                      <wps:cNvSpPr txBox="1"/>
                      <wps:spPr>
                        <a:xfrm>
                          <a:off x="0" y="0"/>
                          <a:ext cx="2924175" cy="114300"/>
                        </a:xfrm>
                        <a:prstGeom prst="rect">
                          <a:avLst/>
                        </a:prstGeom>
                        <a:solidFill>
                          <a:prstClr val="white"/>
                        </a:solidFill>
                        <a:ln>
                          <a:noFill/>
                        </a:ln>
                        <a:effectLst/>
                      </wps:spPr>
                      <wps:txbx>
                        <w:txbxContent>
                          <w:p w14:paraId="115DFDBE" w14:textId="77777777" w:rsidR="005C750A" w:rsidRPr="00AE0937" w:rsidRDefault="005C750A" w:rsidP="007976F6">
                            <w:pPr>
                              <w:rPr>
                                <w:noProof/>
                              </w:rPr>
                            </w:pPr>
                            <w:bookmarkStart w:id="87" w:name="_Toc102559784"/>
                            <w:bookmarkStart w:id="88" w:name="_Toc102560682"/>
                            <w:r w:rsidRPr="00AE0937">
                              <w:t xml:space="preserve">Figure </w:t>
                            </w:r>
                            <w:r w:rsidR="002E1637">
                              <w:fldChar w:fldCharType="begin"/>
                            </w:r>
                            <w:r w:rsidR="002E1637">
                              <w:instrText xml:space="preserve"> SEQ F</w:instrText>
                            </w:r>
                            <w:r w:rsidR="002E1637">
                              <w:instrText xml:space="preserve">igure \* ARABIC </w:instrText>
                            </w:r>
                            <w:r w:rsidR="002E1637">
                              <w:fldChar w:fldCharType="separate"/>
                            </w:r>
                            <w:r>
                              <w:rPr>
                                <w:noProof/>
                              </w:rPr>
                              <w:t>14</w:t>
                            </w:r>
                            <w:r w:rsidR="002E1637">
                              <w:rPr>
                                <w:noProof/>
                              </w:rPr>
                              <w:fldChar w:fldCharType="end"/>
                            </w:r>
                            <w:r w:rsidRPr="00AE0937">
                              <w:rPr>
                                <w:lang w:val="en-US"/>
                              </w:rPr>
                              <w:t>: Central Government Debt by Instrument 2017-2021</w:t>
                            </w:r>
                            <w:bookmarkEnd w:id="87"/>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164D9E8" id="Text Box 43" o:spid="_x0000_s1044" type="#_x0000_t202" style="position:absolute;left:0;text-align:left;margin-left:224.25pt;margin-top:6.3pt;width:230.25pt;height:9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" stroked="f">
                <v:textbox inset="0,0,0,0">
                  <w:txbxContent>
                    <w:p w14:paraId="115DFDBE" w14:textId="77777777" w:rsidR="005C750A" w:rsidRPr="00AE0937" w:rsidRDefault="005C750A" w:rsidP="007976F6">
                      <w:pPr>
                        <w:rPr>
                          <w:noProof/>
                        </w:rPr>
                      </w:pPr>
                      <w:bookmarkStart w:id="115" w:name="_Toc102559784"/>
                      <w:bookmarkStart w:id="116" w:name="_Toc102560682"/>
                      <w:r w:rsidRPr="00AE0937">
                        <w:t xml:space="preserve">Figure </w:t>
                      </w:r>
                      <w:fldSimple w:instr=" SEQ Figure \* ARABIC ">
                        <w:r>
                          <w:rPr>
                            <w:noProof/>
                          </w:rPr>
                          <w:t>14</w:t>
                        </w:r>
                      </w:fldSimple>
                      <w:r w:rsidRPr="00AE0937">
                        <w:rPr>
                          <w:lang w:val="en-US"/>
                        </w:rPr>
                        <w:t>: Central Government Debt by Instrument 2017-2021</w:t>
                      </w:r>
                      <w:bookmarkEnd w:id="115"/>
                      <w:bookmarkEnd w:id="116"/>
                    </w:p>
                  </w:txbxContent>
                </v:textbox>
                <w10:wrap type="square" anchorx="margin"/>
              </v:shape>
            </w:pict>
          </mc:Fallback>
        </mc:AlternateContent>
      </w:r>
      <w:r w:rsidR="005D76D6" w:rsidRPr="005D76D6">
        <w:rPr>
          <w:rFonts w:cs="Times New Roman"/>
          <w:noProof/>
          <w:szCs w:val="16"/>
          <w:lang w:val="en-US"/>
        </w:rPr>
        <w:drawing>
          <wp:anchor distT="0" distB="0" distL="114300" distR="114300" simplePos="0" relativeHeight="251670528" behindDoc="0" locked="0" layoutInCell="1" allowOverlap="1" wp14:anchorId="2EFECBE7" wp14:editId="7FE12705">
            <wp:simplePos x="0" y="0"/>
            <wp:positionH relativeFrom="margin">
              <wp:align>right</wp:align>
            </wp:positionH>
            <wp:positionV relativeFrom="paragraph">
              <wp:posOffset>15875</wp:posOffset>
            </wp:positionV>
            <wp:extent cx="3291840" cy="1920240"/>
            <wp:effectExtent l="0" t="0" r="0" b="3810"/>
            <wp:wrapSquare wrapText="bothSides"/>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r w:rsidR="00E42AF8" w:rsidRPr="00BB3D52">
        <w:rPr>
          <w:rFonts w:cs="Times New Roman"/>
          <w:sz w:val="24"/>
          <w:szCs w:val="24"/>
        </w:rPr>
        <w:t>Bonds and Notes dominated the central gover</w:t>
      </w:r>
      <w:r w:rsidR="001C3271" w:rsidRPr="00BB3D52">
        <w:rPr>
          <w:rFonts w:cs="Times New Roman"/>
          <w:sz w:val="24"/>
          <w:szCs w:val="24"/>
        </w:rPr>
        <w:t>nment portfolio for the last</w:t>
      </w:r>
      <w:r w:rsidR="00E42AF8" w:rsidRPr="00BB3D52">
        <w:rPr>
          <w:rFonts w:cs="Times New Roman"/>
          <w:sz w:val="24"/>
          <w:szCs w:val="24"/>
        </w:rPr>
        <w:t xml:space="preserve"> five years</w:t>
      </w:r>
      <w:r w:rsidR="005D76D6" w:rsidRPr="00BB3D52">
        <w:rPr>
          <w:rFonts w:cs="Times New Roman"/>
          <w:sz w:val="24"/>
          <w:szCs w:val="24"/>
        </w:rPr>
        <w:t xml:space="preserve">. </w:t>
      </w:r>
      <w:r w:rsidR="009E48DE" w:rsidRPr="00BB3D52">
        <w:rPr>
          <w:rFonts w:cs="Times New Roman"/>
          <w:sz w:val="24"/>
          <w:szCs w:val="24"/>
        </w:rPr>
        <w:t>A</w:t>
      </w:r>
      <w:r w:rsidR="006700C0" w:rsidRPr="00BB3D52">
        <w:rPr>
          <w:rFonts w:cs="Times New Roman"/>
          <w:sz w:val="24"/>
          <w:szCs w:val="24"/>
        </w:rPr>
        <w:t xml:space="preserve">t the end of December </w:t>
      </w:r>
      <w:r w:rsidR="005D76D6" w:rsidRPr="00BB3D52">
        <w:rPr>
          <w:rFonts w:cs="Times New Roman"/>
          <w:sz w:val="24"/>
          <w:szCs w:val="24"/>
        </w:rPr>
        <w:t>2021,</w:t>
      </w:r>
      <w:r w:rsidR="009E48DE" w:rsidRPr="00BB3D52">
        <w:rPr>
          <w:rFonts w:cs="Times New Roman"/>
          <w:sz w:val="24"/>
          <w:szCs w:val="24"/>
        </w:rPr>
        <w:t xml:space="preserve"> bonds &amp; notes stood at $2,031.83M increasing by $11.63M or 1.0% over December 2020 and by an average of 6.5% in the previous five years</w:t>
      </w:r>
      <w:r w:rsidR="005D76D6" w:rsidRPr="00BB3D52">
        <w:rPr>
          <w:rFonts w:cs="Times New Roman"/>
          <w:sz w:val="24"/>
          <w:szCs w:val="24"/>
        </w:rPr>
        <w:t xml:space="preserve">. </w:t>
      </w:r>
      <w:r w:rsidR="006700C0" w:rsidRPr="00BB3D52">
        <w:rPr>
          <w:rFonts w:cs="Times New Roman"/>
          <w:sz w:val="24"/>
          <w:szCs w:val="24"/>
        </w:rPr>
        <w:t>Loans had the second largest share</w:t>
      </w:r>
      <w:r w:rsidR="00443658">
        <w:rPr>
          <w:rFonts w:cs="Times New Roman"/>
          <w:sz w:val="24"/>
          <w:szCs w:val="24"/>
        </w:rPr>
        <w:t xml:space="preserve"> of the central government debt</w:t>
      </w:r>
      <w:r w:rsidR="001F508E">
        <w:rPr>
          <w:rFonts w:cs="Times New Roman"/>
          <w:sz w:val="24"/>
          <w:szCs w:val="24"/>
        </w:rPr>
        <w:t xml:space="preserve"> portfolio</w:t>
      </w:r>
      <w:r w:rsidR="006700C0" w:rsidRPr="00BB3D52">
        <w:rPr>
          <w:rFonts w:cs="Times New Roman"/>
          <w:sz w:val="24"/>
          <w:szCs w:val="24"/>
        </w:rPr>
        <w:t xml:space="preserve"> with $1,467.13M (38.0%) and Treasury Bills $365.39M (9.5%). The percentage share of </w:t>
      </w:r>
      <w:r w:rsidR="00062916" w:rsidRPr="00BB3D52">
        <w:rPr>
          <w:rFonts w:cs="Times New Roman"/>
          <w:sz w:val="24"/>
          <w:szCs w:val="24"/>
        </w:rPr>
        <w:t>loans</w:t>
      </w:r>
      <w:r w:rsidR="005D76D6">
        <w:rPr>
          <w:rFonts w:cs="Times New Roman"/>
          <w:sz w:val="24"/>
          <w:szCs w:val="24"/>
        </w:rPr>
        <w:t xml:space="preserve"> increased</w:t>
      </w:r>
      <w:r w:rsidR="006700C0" w:rsidRPr="00BB3D52">
        <w:rPr>
          <w:rFonts w:cs="Times New Roman"/>
          <w:sz w:val="24"/>
          <w:szCs w:val="24"/>
        </w:rPr>
        <w:t xml:space="preserve"> by</w:t>
      </w:r>
      <w:r w:rsidR="00062916" w:rsidRPr="00BB3D52">
        <w:rPr>
          <w:rFonts w:cs="Times New Roman"/>
          <w:sz w:val="24"/>
          <w:szCs w:val="24"/>
        </w:rPr>
        <w:t xml:space="preserve"> 21.2% from December 2020 and </w:t>
      </w:r>
      <w:r w:rsidR="005D76D6">
        <w:rPr>
          <w:rFonts w:cs="Times New Roman"/>
          <w:sz w:val="24"/>
          <w:szCs w:val="24"/>
        </w:rPr>
        <w:t xml:space="preserve">by </w:t>
      </w:r>
      <w:r w:rsidR="00062916" w:rsidRPr="00BB3D52">
        <w:rPr>
          <w:rFonts w:cs="Times New Roman"/>
          <w:sz w:val="24"/>
          <w:szCs w:val="24"/>
        </w:rPr>
        <w:t>an average of 13.8% for the previous five years</w:t>
      </w:r>
      <w:r w:rsidR="005D76D6">
        <w:rPr>
          <w:rFonts w:cs="Times New Roman"/>
          <w:sz w:val="24"/>
          <w:szCs w:val="24"/>
        </w:rPr>
        <w:t xml:space="preserve"> due to </w:t>
      </w:r>
      <w:r w:rsidR="00062916" w:rsidRPr="00BB3D52">
        <w:rPr>
          <w:rFonts w:cs="Times New Roman"/>
          <w:sz w:val="24"/>
          <w:szCs w:val="24"/>
        </w:rPr>
        <w:t>disbursements on loans contracted in the previous year.</w:t>
      </w:r>
      <w:r w:rsidR="00C24BC4">
        <w:rPr>
          <w:rFonts w:cs="Times New Roman"/>
          <w:sz w:val="24"/>
          <w:szCs w:val="24"/>
        </w:rPr>
        <w:t xml:space="preserve"> Treasury bills increased </w:t>
      </w:r>
      <w:r w:rsidR="00062916" w:rsidRPr="00BB3D52">
        <w:rPr>
          <w:rFonts w:cs="Times New Roman"/>
          <w:sz w:val="24"/>
          <w:szCs w:val="24"/>
        </w:rPr>
        <w:t>10.5</w:t>
      </w:r>
      <w:r w:rsidR="006700C0" w:rsidRPr="00BB3D52">
        <w:rPr>
          <w:rFonts w:cs="Times New Roman"/>
          <w:sz w:val="24"/>
          <w:szCs w:val="24"/>
        </w:rPr>
        <w:t xml:space="preserve">% over the </w:t>
      </w:r>
      <w:r w:rsidR="00062916" w:rsidRPr="00BB3D52">
        <w:rPr>
          <w:rFonts w:cs="Times New Roman"/>
          <w:sz w:val="24"/>
          <w:szCs w:val="24"/>
        </w:rPr>
        <w:t>year</w:t>
      </w:r>
      <w:r w:rsidR="006700C0" w:rsidRPr="00BB3D52">
        <w:rPr>
          <w:rFonts w:cs="Times New Roman"/>
          <w:sz w:val="24"/>
          <w:szCs w:val="24"/>
        </w:rPr>
        <w:t xml:space="preserve"> </w:t>
      </w:r>
      <w:r w:rsidR="005D76D6">
        <w:rPr>
          <w:rFonts w:cs="Times New Roman"/>
          <w:sz w:val="24"/>
          <w:szCs w:val="24"/>
        </w:rPr>
        <w:t xml:space="preserve">but decreased on </w:t>
      </w:r>
      <w:r w:rsidR="00E5465A" w:rsidRPr="00BB3D52">
        <w:rPr>
          <w:rFonts w:cs="Times New Roman"/>
          <w:sz w:val="24"/>
          <w:szCs w:val="24"/>
        </w:rPr>
        <w:t>a</w:t>
      </w:r>
      <w:r w:rsidR="005D76D6">
        <w:rPr>
          <w:rFonts w:cs="Times New Roman"/>
          <w:sz w:val="24"/>
          <w:szCs w:val="24"/>
        </w:rPr>
        <w:t>verage by 6.4% over the last</w:t>
      </w:r>
      <w:r w:rsidR="00E5465A" w:rsidRPr="00BB3D52">
        <w:rPr>
          <w:rFonts w:cs="Times New Roman"/>
          <w:sz w:val="24"/>
          <w:szCs w:val="24"/>
        </w:rPr>
        <w:t xml:space="preserve"> five years</w:t>
      </w:r>
      <w:r w:rsidR="006700C0" w:rsidRPr="00BB3D52">
        <w:rPr>
          <w:rFonts w:cs="Times New Roman"/>
          <w:sz w:val="24"/>
          <w:szCs w:val="24"/>
        </w:rPr>
        <w:t>.</w:t>
      </w:r>
      <w:r w:rsidR="005D76D6">
        <w:rPr>
          <w:rFonts w:cs="Times New Roman"/>
          <w:sz w:val="24"/>
          <w:szCs w:val="24"/>
        </w:rPr>
        <w:t xml:space="preserve"> (</w:t>
      </w:r>
      <w:r w:rsidR="00392EA2">
        <w:rPr>
          <w:rFonts w:cs="Times New Roman"/>
          <w:sz w:val="24"/>
          <w:szCs w:val="24"/>
        </w:rPr>
        <w:t>Figure</w:t>
      </w:r>
      <w:r w:rsidR="005D76D6">
        <w:rPr>
          <w:rFonts w:cs="Times New Roman"/>
          <w:sz w:val="24"/>
          <w:szCs w:val="24"/>
        </w:rPr>
        <w:t xml:space="preserve"> 14)</w:t>
      </w:r>
      <w:r w:rsidR="005D76D6" w:rsidRPr="005D76D6">
        <w:rPr>
          <w:noProof/>
          <w:lang w:eastAsia="en-029"/>
        </w:rPr>
        <w:t xml:space="preserve"> </w:t>
      </w:r>
    </w:p>
    <w:p w14:paraId="6213EAC4" w14:textId="77777777" w:rsidR="009A19F8" w:rsidRPr="00BB3D52" w:rsidRDefault="00365B1B" w:rsidP="00E0795E">
      <w:pPr>
        <w:pStyle w:val="Heading2"/>
        <w:spacing w:line="360" w:lineRule="auto"/>
        <w:rPr>
          <w:rFonts w:cs="Times New Roman"/>
          <w:sz w:val="24"/>
          <w:szCs w:val="24"/>
        </w:rPr>
      </w:pPr>
      <w:bookmarkStart w:id="89" w:name="_Toc102558927"/>
      <w:r w:rsidRPr="00BB3D52">
        <w:rPr>
          <w:rFonts w:cs="Times New Roman"/>
          <w:sz w:val="24"/>
          <w:szCs w:val="24"/>
        </w:rPr>
        <w:t>4.3 Central Government by Currency</w:t>
      </w:r>
      <w:r w:rsidR="00F666A4">
        <w:rPr>
          <w:rFonts w:cs="Times New Roman"/>
          <w:sz w:val="24"/>
          <w:szCs w:val="24"/>
        </w:rPr>
        <w:t xml:space="preserve"> Composition</w:t>
      </w:r>
      <w:bookmarkEnd w:id="89"/>
    </w:p>
    <w:p w14:paraId="31224981" w14:textId="65587183" w:rsidR="009A19F8" w:rsidRDefault="00365B1B" w:rsidP="00E0795E">
      <w:pPr>
        <w:spacing w:line="360" w:lineRule="auto"/>
        <w:jc w:val="both"/>
        <w:rPr>
          <w:noProof/>
          <w:lang w:eastAsia="en-029"/>
        </w:rPr>
      </w:pPr>
      <w:r>
        <w:rPr>
          <w:noProof/>
          <w:lang w:val="en-US"/>
        </w:rPr>
        <mc:AlternateContent>
          <mc:Choice Requires="wps">
            <w:drawing>
              <wp:anchor distT="0" distB="0" distL="114300" distR="114300" simplePos="0" relativeHeight="251720704" behindDoc="0" locked="0" layoutInCell="1" allowOverlap="1" wp14:anchorId="7BA2DD4E" wp14:editId="3210E828">
                <wp:simplePos x="0" y="0"/>
                <wp:positionH relativeFrom="margin">
                  <wp:posOffset>2673626</wp:posOffset>
                </wp:positionH>
                <wp:positionV relativeFrom="paragraph">
                  <wp:posOffset>151765</wp:posOffset>
                </wp:positionV>
                <wp:extent cx="3143250" cy="104775"/>
                <wp:effectExtent l="0" t="0" r="0" b="9525"/>
                <wp:wrapSquare wrapText="bothSides"/>
                <wp:docPr id="44" name="Text Box 44"/>
                <wp:cNvGraphicFramePr/>
                <a:graphic xmlns:a="http://schemas.openxmlformats.org/drawingml/2006/main">
                  <a:graphicData uri="http://schemas.microsoft.com/office/word/2010/wordprocessingShape">
                    <wps:wsp>
                      <wps:cNvSpPr txBox="1"/>
                      <wps:spPr>
                        <a:xfrm>
                          <a:off x="0" y="0"/>
                          <a:ext cx="3143250" cy="104775"/>
                        </a:xfrm>
                        <a:prstGeom prst="rect">
                          <a:avLst/>
                        </a:prstGeom>
                        <a:solidFill>
                          <a:prstClr val="white"/>
                        </a:solidFill>
                        <a:ln>
                          <a:noFill/>
                        </a:ln>
                        <a:effectLst/>
                      </wps:spPr>
                      <wps:txbx>
                        <w:txbxContent>
                          <w:p w14:paraId="60203670" w14:textId="77777777" w:rsidR="005C750A" w:rsidRPr="00AE0937" w:rsidRDefault="005C750A" w:rsidP="007976F6">
                            <w:pPr>
                              <w:rPr>
                                <w:noProof/>
                              </w:rPr>
                            </w:pPr>
                            <w:bookmarkStart w:id="90" w:name="_Toc102559785"/>
                            <w:bookmarkStart w:id="91" w:name="_Toc102560683"/>
                            <w:r w:rsidRPr="00AE0937">
                              <w:t xml:space="preserve">Figure </w:t>
                            </w:r>
                            <w:r w:rsidR="002E1637">
                              <w:fldChar w:fldCharType="begin"/>
                            </w:r>
                            <w:r w:rsidR="002E1637">
                              <w:instrText xml:space="preserve"> SEQ Figure \* ARABIC </w:instrText>
                            </w:r>
                            <w:r w:rsidR="002E1637">
                              <w:fldChar w:fldCharType="separate"/>
                            </w:r>
                            <w:r>
                              <w:rPr>
                                <w:noProof/>
                              </w:rPr>
                              <w:t>15</w:t>
                            </w:r>
                            <w:r w:rsidR="002E1637">
                              <w:rPr>
                                <w:noProof/>
                              </w:rPr>
                              <w:fldChar w:fldCharType="end"/>
                            </w:r>
                            <w:r w:rsidRPr="00AE0937">
                              <w:rPr>
                                <w:lang w:val="en-US"/>
                              </w:rPr>
                              <w:t>:</w:t>
                            </w:r>
                            <w:r>
                              <w:rPr>
                                <w:lang w:val="en-US"/>
                              </w:rPr>
                              <w:t xml:space="preserve"> </w:t>
                            </w:r>
                            <w:r w:rsidRPr="00AE0937">
                              <w:rPr>
                                <w:lang w:val="en-US"/>
                              </w:rPr>
                              <w:t>Central Government Debt by Currency Composition 2017-20</w:t>
                            </w:r>
                            <w:r>
                              <w:rPr>
                                <w:lang w:val="en-US"/>
                              </w:rPr>
                              <w:t>21</w:t>
                            </w:r>
                            <w:bookmarkEnd w:id="90"/>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BA2DD4E" id="Text Box 44" o:spid="_x0000_s1045" type="#_x0000_t202" style="position:absolute;left:0;text-align:left;margin-left:210.5pt;margin-top:11.95pt;width:247.5pt;height:8.2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" stroked="f">
                <v:textbox inset="0,0,0,0">
                  <w:txbxContent>
                    <w:p w14:paraId="60203670" w14:textId="77777777" w:rsidR="005C750A" w:rsidRPr="00AE0937" w:rsidRDefault="005C750A" w:rsidP="007976F6">
                      <w:pPr>
                        <w:rPr>
                          <w:noProof/>
                        </w:rPr>
                      </w:pPr>
                      <w:bookmarkStart w:id="120" w:name="_Toc102559785"/>
                      <w:bookmarkStart w:id="121" w:name="_Toc102560683"/>
                      <w:r w:rsidRPr="00AE0937">
                        <w:t xml:space="preserve">Figure </w:t>
                      </w:r>
                      <w:fldSimple w:instr=" SEQ Figure \* ARABIC ">
                        <w:r>
                          <w:rPr>
                            <w:noProof/>
                          </w:rPr>
                          <w:t>15</w:t>
                        </w:r>
                      </w:fldSimple>
                      <w:r w:rsidRPr="00AE0937">
                        <w:rPr>
                          <w:lang w:val="en-US"/>
                        </w:rPr>
                        <w:t>:</w:t>
                      </w:r>
                      <w:r>
                        <w:rPr>
                          <w:lang w:val="en-US"/>
                        </w:rPr>
                        <w:t xml:space="preserve"> </w:t>
                      </w:r>
                      <w:r w:rsidRPr="00AE0937">
                        <w:rPr>
                          <w:lang w:val="en-US"/>
                        </w:rPr>
                        <w:t>Central Government Debt by Currency Composition 2017-20</w:t>
                      </w:r>
                      <w:r>
                        <w:rPr>
                          <w:lang w:val="en-US"/>
                        </w:rPr>
                        <w:t>21</w:t>
                      </w:r>
                      <w:bookmarkEnd w:id="120"/>
                      <w:bookmarkEnd w:id="121"/>
                    </w:p>
                  </w:txbxContent>
                </v:textbox>
                <w10:wrap type="square" anchorx="margin"/>
              </v:shape>
            </w:pict>
          </mc:Fallback>
        </mc:AlternateContent>
      </w:r>
      <w:r w:rsidR="00F666A4" w:rsidRPr="00F666A4">
        <w:rPr>
          <w:rFonts w:cs="Times New Roman"/>
          <w:noProof/>
          <w:szCs w:val="16"/>
          <w:lang w:val="en-US"/>
        </w:rPr>
        <w:drawing>
          <wp:anchor distT="0" distB="0" distL="114300" distR="114300" simplePos="0" relativeHeight="251671552" behindDoc="0" locked="0" layoutInCell="1" allowOverlap="1" wp14:anchorId="4DA712E2" wp14:editId="1D8C4577">
            <wp:simplePos x="0" y="0"/>
            <wp:positionH relativeFrom="margin">
              <wp:align>right</wp:align>
            </wp:positionH>
            <wp:positionV relativeFrom="paragraph">
              <wp:posOffset>66040</wp:posOffset>
            </wp:positionV>
            <wp:extent cx="3383280" cy="1920240"/>
            <wp:effectExtent l="0" t="0" r="0" b="0"/>
            <wp:wrapSquare wrapText="bothSides"/>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r w:rsidR="009A19F8" w:rsidRPr="00BB3D52">
        <w:rPr>
          <w:rFonts w:cs="Times New Roman"/>
          <w:sz w:val="24"/>
          <w:szCs w:val="24"/>
        </w:rPr>
        <w:t xml:space="preserve">Eastern Caribbean Dollars (XCD) </w:t>
      </w:r>
      <w:r w:rsidR="004418C4" w:rsidRPr="00BB3D52">
        <w:rPr>
          <w:rFonts w:cs="Times New Roman"/>
          <w:sz w:val="24"/>
          <w:szCs w:val="24"/>
        </w:rPr>
        <w:t>dominated</w:t>
      </w:r>
      <w:r w:rsidR="00D93ADD">
        <w:rPr>
          <w:rFonts w:cs="Times New Roman"/>
          <w:sz w:val="24"/>
          <w:szCs w:val="24"/>
        </w:rPr>
        <w:t xml:space="preserve"> the central government d</w:t>
      </w:r>
      <w:r w:rsidR="009A19F8" w:rsidRPr="00BB3D52">
        <w:rPr>
          <w:rFonts w:cs="Times New Roman"/>
          <w:sz w:val="24"/>
          <w:szCs w:val="24"/>
        </w:rPr>
        <w:t>ebt portfolio</w:t>
      </w:r>
      <w:r w:rsidR="004418C4" w:rsidRPr="00BB3D52">
        <w:rPr>
          <w:rFonts w:cs="Times New Roman"/>
          <w:sz w:val="24"/>
          <w:szCs w:val="24"/>
        </w:rPr>
        <w:t xml:space="preserve"> </w:t>
      </w:r>
      <w:r w:rsidR="005702C6">
        <w:rPr>
          <w:rFonts w:cs="Times New Roman"/>
          <w:sz w:val="24"/>
          <w:szCs w:val="24"/>
        </w:rPr>
        <w:t>between 2017 and 2020</w:t>
      </w:r>
      <w:r w:rsidR="00AF59C0" w:rsidRPr="00BB3D52">
        <w:rPr>
          <w:rFonts w:cs="Times New Roman"/>
          <w:sz w:val="24"/>
          <w:szCs w:val="24"/>
        </w:rPr>
        <w:t xml:space="preserve"> and </w:t>
      </w:r>
      <w:r w:rsidR="009A19F8" w:rsidRPr="00BB3D52">
        <w:rPr>
          <w:rFonts w:cs="Times New Roman"/>
          <w:sz w:val="24"/>
          <w:szCs w:val="24"/>
        </w:rPr>
        <w:t>at the end of 2021 with $2,014.26M or 52.1%</w:t>
      </w:r>
      <w:r w:rsidR="00F666A4" w:rsidRPr="00BB3D52">
        <w:rPr>
          <w:rFonts w:cs="Times New Roman"/>
          <w:sz w:val="24"/>
          <w:szCs w:val="24"/>
        </w:rPr>
        <w:t xml:space="preserve">. </w:t>
      </w:r>
      <w:r w:rsidR="009A19F8" w:rsidRPr="00BB3D52">
        <w:rPr>
          <w:rFonts w:cs="Times New Roman"/>
          <w:sz w:val="24"/>
          <w:szCs w:val="24"/>
        </w:rPr>
        <w:t>The United States Dollars (USD) had the second-largest s</w:t>
      </w:r>
      <w:r w:rsidR="00F666A4">
        <w:rPr>
          <w:rFonts w:cs="Times New Roman"/>
          <w:sz w:val="24"/>
          <w:szCs w:val="24"/>
        </w:rPr>
        <w:t xml:space="preserve">hare with $1,491.82M or 38.6%. </w:t>
      </w:r>
      <w:r w:rsidR="009A19F8" w:rsidRPr="00BB3D52">
        <w:rPr>
          <w:rFonts w:cs="Times New Roman"/>
          <w:sz w:val="24"/>
          <w:szCs w:val="24"/>
        </w:rPr>
        <w:t>Special Drawing Rights (SDR)</w:t>
      </w:r>
      <w:r w:rsidR="00F666A4">
        <w:rPr>
          <w:rFonts w:cs="Times New Roman"/>
          <w:sz w:val="24"/>
          <w:szCs w:val="24"/>
        </w:rPr>
        <w:t>,</w:t>
      </w:r>
      <w:r w:rsidR="009A19F8" w:rsidRPr="00BB3D52">
        <w:rPr>
          <w:rFonts w:cs="Times New Roman"/>
          <w:sz w:val="24"/>
          <w:szCs w:val="24"/>
        </w:rPr>
        <w:t xml:space="preserve"> $340.8M or 8.8%</w:t>
      </w:r>
      <w:r w:rsidR="00F666A4">
        <w:rPr>
          <w:rFonts w:cs="Times New Roman"/>
          <w:sz w:val="24"/>
          <w:szCs w:val="24"/>
        </w:rPr>
        <w:t xml:space="preserve">, and </w:t>
      </w:r>
      <w:r w:rsidR="009A19F8" w:rsidRPr="00BB3D52">
        <w:rPr>
          <w:rFonts w:cs="Times New Roman"/>
          <w:sz w:val="24"/>
          <w:szCs w:val="24"/>
        </w:rPr>
        <w:t>Kuwaiti Dinars (KWD) $12.7M or 0.3%.</w:t>
      </w:r>
      <w:r w:rsidR="00F666A4">
        <w:rPr>
          <w:rFonts w:cs="Times New Roman"/>
          <w:sz w:val="24"/>
          <w:szCs w:val="24"/>
        </w:rPr>
        <w:t xml:space="preserve"> (</w:t>
      </w:r>
      <w:r w:rsidR="00392EA2">
        <w:rPr>
          <w:rFonts w:cs="Times New Roman"/>
          <w:sz w:val="24"/>
          <w:szCs w:val="24"/>
        </w:rPr>
        <w:t>Figure</w:t>
      </w:r>
      <w:r w:rsidR="00F666A4">
        <w:rPr>
          <w:rFonts w:cs="Times New Roman"/>
          <w:sz w:val="24"/>
          <w:szCs w:val="24"/>
        </w:rPr>
        <w:t xml:space="preserve"> 15)</w:t>
      </w:r>
      <w:r w:rsidR="00F666A4" w:rsidRPr="00F666A4">
        <w:rPr>
          <w:noProof/>
          <w:lang w:eastAsia="en-029"/>
        </w:rPr>
        <w:t xml:space="preserve"> </w:t>
      </w:r>
    </w:p>
    <w:p w14:paraId="0B6AADB6" w14:textId="77777777" w:rsidR="00AD7BDE" w:rsidRDefault="00AD7BDE" w:rsidP="00E0795E">
      <w:pPr>
        <w:spacing w:line="360" w:lineRule="auto"/>
        <w:jc w:val="both"/>
        <w:rPr>
          <w:noProof/>
          <w:lang w:eastAsia="en-029"/>
        </w:rPr>
      </w:pPr>
    </w:p>
    <w:p w14:paraId="1696DC69" w14:textId="77777777" w:rsidR="00B91E7A" w:rsidRPr="00BB3D52" w:rsidRDefault="00365B1B" w:rsidP="00E0795E">
      <w:pPr>
        <w:pStyle w:val="Heading1"/>
        <w:spacing w:line="360" w:lineRule="auto"/>
        <w:rPr>
          <w:rFonts w:cs="Times New Roman"/>
          <w:sz w:val="24"/>
          <w:szCs w:val="24"/>
        </w:rPr>
      </w:pPr>
      <w:bookmarkStart w:id="92" w:name="_Toc102558928"/>
      <w:r w:rsidRPr="00BB3D52">
        <w:rPr>
          <w:rFonts w:cs="Times New Roman"/>
          <w:sz w:val="24"/>
          <w:szCs w:val="24"/>
        </w:rPr>
        <w:t xml:space="preserve">5. </w:t>
      </w:r>
      <w:r w:rsidR="00E31A5E">
        <w:rPr>
          <w:rFonts w:cs="Times New Roman"/>
          <w:sz w:val="24"/>
          <w:szCs w:val="24"/>
        </w:rPr>
        <w:t>RGSM and Private Placement Security Activity</w:t>
      </w:r>
      <w:bookmarkEnd w:id="92"/>
      <w:r w:rsidRPr="00BB3D52">
        <w:rPr>
          <w:rFonts w:cs="Times New Roman"/>
          <w:sz w:val="24"/>
          <w:szCs w:val="24"/>
        </w:rPr>
        <w:t xml:space="preserve"> </w:t>
      </w:r>
    </w:p>
    <w:p w14:paraId="349271F3" w14:textId="77777777" w:rsidR="00B91E7A" w:rsidRPr="00BB3D52" w:rsidRDefault="00365B1B" w:rsidP="00E0795E">
      <w:pPr>
        <w:pStyle w:val="Heading2"/>
        <w:spacing w:line="360" w:lineRule="auto"/>
        <w:rPr>
          <w:rFonts w:cs="Times New Roman"/>
          <w:sz w:val="24"/>
          <w:szCs w:val="24"/>
        </w:rPr>
      </w:pPr>
      <w:bookmarkStart w:id="93" w:name="_Toc102558929"/>
      <w:r>
        <w:rPr>
          <w:rFonts w:cs="Times New Roman"/>
          <w:sz w:val="24"/>
          <w:szCs w:val="24"/>
        </w:rPr>
        <w:t>5</w:t>
      </w:r>
      <w:r w:rsidRPr="00BB3D52">
        <w:rPr>
          <w:rFonts w:cs="Times New Roman"/>
          <w:sz w:val="24"/>
          <w:szCs w:val="24"/>
        </w:rPr>
        <w:t>.1 Regional Government Securities Market (RGSM)</w:t>
      </w:r>
      <w:r w:rsidR="00E31A5E">
        <w:rPr>
          <w:rFonts w:cs="Times New Roman"/>
          <w:sz w:val="24"/>
          <w:szCs w:val="24"/>
        </w:rPr>
        <w:t xml:space="preserve"> Securities</w:t>
      </w:r>
      <w:bookmarkEnd w:id="93"/>
    </w:p>
    <w:p w14:paraId="712A4DE4" w14:textId="0B70C808" w:rsidR="00D93ADD" w:rsidRDefault="00365B1B" w:rsidP="00E0795E">
      <w:pPr>
        <w:spacing w:line="360" w:lineRule="auto"/>
        <w:jc w:val="both"/>
        <w:rPr>
          <w:rFonts w:cs="Times New Roman"/>
          <w:color w:val="FF0000"/>
          <w:sz w:val="24"/>
          <w:szCs w:val="24"/>
        </w:rPr>
      </w:pPr>
      <w:r>
        <w:rPr>
          <w:noProof/>
          <w:lang w:val="en-US"/>
        </w:rPr>
        <mc:AlternateContent>
          <mc:Choice Requires="wps">
            <w:drawing>
              <wp:anchor distT="0" distB="0" distL="114300" distR="114300" simplePos="0" relativeHeight="251722752" behindDoc="0" locked="0" layoutInCell="1" allowOverlap="1" wp14:anchorId="2951A625" wp14:editId="3C5FB0F5">
                <wp:simplePos x="0" y="0"/>
                <wp:positionH relativeFrom="margin">
                  <wp:posOffset>3448050</wp:posOffset>
                </wp:positionH>
                <wp:positionV relativeFrom="paragraph">
                  <wp:posOffset>1088390</wp:posOffset>
                </wp:positionV>
                <wp:extent cx="1828800" cy="133350"/>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1828800" cy="133350"/>
                        </a:xfrm>
                        <a:prstGeom prst="rect">
                          <a:avLst/>
                        </a:prstGeom>
                        <a:solidFill>
                          <a:prstClr val="white"/>
                        </a:solidFill>
                        <a:ln>
                          <a:noFill/>
                        </a:ln>
                        <a:effectLst/>
                      </wps:spPr>
                      <wps:txbx>
                        <w:txbxContent>
                          <w:p w14:paraId="6683A7ED" w14:textId="77777777" w:rsidR="005C750A" w:rsidRPr="009C0E53" w:rsidRDefault="005C750A" w:rsidP="007976F6">
                            <w:pPr>
                              <w:rPr>
                                <w:noProof/>
                              </w:rPr>
                            </w:pPr>
                            <w:bookmarkStart w:id="94" w:name="_Toc102559786"/>
                            <w:bookmarkStart w:id="95" w:name="_Toc102560684"/>
                            <w:r w:rsidRPr="009C0E53">
                              <w:t xml:space="preserve">Figure </w:t>
                            </w:r>
                            <w:r w:rsidR="002E1637">
                              <w:fldChar w:fldCharType="begin"/>
                            </w:r>
                            <w:r w:rsidR="002E1637">
                              <w:instrText xml:space="preserve"> SEQ Figure \* ARABIC </w:instrText>
                            </w:r>
                            <w:r w:rsidR="002E1637">
                              <w:fldChar w:fldCharType="separate"/>
                            </w:r>
                            <w:r>
                              <w:rPr>
                                <w:noProof/>
                              </w:rPr>
                              <w:t>16</w:t>
                            </w:r>
                            <w:r w:rsidR="002E1637">
                              <w:rPr>
                                <w:noProof/>
                              </w:rPr>
                              <w:fldChar w:fldCharType="end"/>
                            </w:r>
                            <w:r w:rsidRPr="009C0E53">
                              <w:t>: RGSM Securities 2017-2021</w:t>
                            </w:r>
                            <w:bookmarkEnd w:id="94"/>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951A625" id="Text Box 45" o:spid="_x0000_s1046" type="#_x0000_t202" style="position:absolute;left:0;text-align:left;margin-left:271.5pt;margin-top:85.7pt;width:2in;height:10.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" stroked="f">
                <v:textbox inset="0,0,0,0">
                  <w:txbxContent>
                    <w:p w14:paraId="6683A7ED" w14:textId="77777777" w:rsidR="005C750A" w:rsidRPr="009C0E53" w:rsidRDefault="005C750A" w:rsidP="007976F6">
                      <w:pPr>
                        <w:rPr>
                          <w:noProof/>
                        </w:rPr>
                      </w:pPr>
                      <w:bookmarkStart w:id="126" w:name="_Toc102559786"/>
                      <w:bookmarkStart w:id="127" w:name="_Toc102560684"/>
                      <w:r w:rsidRPr="009C0E53">
                        <w:t xml:space="preserve">Figure </w:t>
                      </w:r>
                      <w:fldSimple w:instr=" SEQ Figure \* ARABIC ">
                        <w:r>
                          <w:rPr>
                            <w:noProof/>
                          </w:rPr>
                          <w:t>16</w:t>
                        </w:r>
                      </w:fldSimple>
                      <w:r w:rsidRPr="009C0E53">
                        <w:t>: RGSM Securities 2017-2021</w:t>
                      </w:r>
                      <w:bookmarkEnd w:id="126"/>
                      <w:bookmarkEnd w:id="127"/>
                    </w:p>
                  </w:txbxContent>
                </v:textbox>
                <w10:wrap type="square" anchorx="margin"/>
              </v:shape>
            </w:pict>
          </mc:Fallback>
        </mc:AlternateContent>
      </w:r>
      <w:r w:rsidR="00F666A4">
        <w:rPr>
          <w:noProof/>
          <w:lang w:val="en-US"/>
        </w:rPr>
        <w:drawing>
          <wp:anchor distT="0" distB="0" distL="114300" distR="114300" simplePos="0" relativeHeight="251672576" behindDoc="0" locked="0" layoutInCell="1" allowOverlap="1" wp14:anchorId="3E1486D6" wp14:editId="3485A5CC">
            <wp:simplePos x="0" y="0"/>
            <wp:positionH relativeFrom="margin">
              <wp:align>right</wp:align>
            </wp:positionH>
            <wp:positionV relativeFrom="paragraph">
              <wp:posOffset>957580</wp:posOffset>
            </wp:positionV>
            <wp:extent cx="3291840" cy="1920240"/>
            <wp:effectExtent l="0" t="0" r="0" b="0"/>
            <wp:wrapSquare wrapText="bothSides"/>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sidR="00D93ADD">
        <w:rPr>
          <w:rFonts w:cs="Times New Roman"/>
          <w:sz w:val="24"/>
          <w:szCs w:val="24"/>
        </w:rPr>
        <w:t xml:space="preserve">The RGSM </w:t>
      </w:r>
      <w:r w:rsidR="00B91E7A" w:rsidRPr="00BB3D52">
        <w:rPr>
          <w:rFonts w:cs="Times New Roman"/>
          <w:sz w:val="24"/>
          <w:szCs w:val="24"/>
        </w:rPr>
        <w:t>averaged 34.2% of the entire security portfolio from 2017-to 2021, peaking in 2017</w:t>
      </w:r>
      <w:r w:rsidR="00D93ADD">
        <w:rPr>
          <w:rFonts w:cs="Times New Roman"/>
          <w:sz w:val="24"/>
          <w:szCs w:val="24"/>
        </w:rPr>
        <w:t xml:space="preserve"> </w:t>
      </w:r>
      <w:r w:rsidR="00B91E7A" w:rsidRPr="00BB3D52">
        <w:rPr>
          <w:rFonts w:cs="Times New Roman"/>
          <w:sz w:val="24"/>
          <w:szCs w:val="24"/>
        </w:rPr>
        <w:t>at 42.8%</w:t>
      </w:r>
      <w:r w:rsidR="00F666A4" w:rsidRPr="00BB3D52">
        <w:rPr>
          <w:rFonts w:cs="Times New Roman"/>
          <w:sz w:val="24"/>
          <w:szCs w:val="24"/>
        </w:rPr>
        <w:t xml:space="preserve">. </w:t>
      </w:r>
      <w:r w:rsidR="00B91E7A" w:rsidRPr="00BB3D52">
        <w:rPr>
          <w:rFonts w:cs="Times New Roman"/>
          <w:sz w:val="24"/>
          <w:szCs w:val="24"/>
        </w:rPr>
        <w:t>RGSM securities increased in 2021 by $24.97M or 3.2% from 2020 despite a lack of investor appetite likely precipitated by the Covid-19 pandemic.</w:t>
      </w:r>
      <w:r w:rsidR="00B91E7A" w:rsidRPr="00BB3D52">
        <w:rPr>
          <w:rFonts w:cs="Times New Roman"/>
          <w:color w:val="FF0000"/>
          <w:sz w:val="24"/>
          <w:szCs w:val="24"/>
        </w:rPr>
        <w:t xml:space="preserve"> </w:t>
      </w:r>
      <w:r w:rsidR="00B91E7A" w:rsidRPr="00BB3D52">
        <w:rPr>
          <w:rFonts w:cs="Times New Roman"/>
          <w:sz w:val="24"/>
          <w:szCs w:val="24"/>
        </w:rPr>
        <w:t>Longer-term bonds and notes were the main contributors to the RGSM portfolio at 86.1% in 2021.</w:t>
      </w:r>
      <w:r w:rsidR="00B91E7A" w:rsidRPr="00BB3D52">
        <w:rPr>
          <w:rFonts w:cs="Times New Roman"/>
          <w:color w:val="FF0000"/>
          <w:sz w:val="24"/>
          <w:szCs w:val="24"/>
        </w:rPr>
        <w:t xml:space="preserve"> </w:t>
      </w:r>
      <w:r w:rsidR="005702C6" w:rsidRPr="005702C6">
        <w:rPr>
          <w:rFonts w:cs="Times New Roman"/>
          <w:sz w:val="24"/>
          <w:szCs w:val="24"/>
        </w:rPr>
        <w:t xml:space="preserve">RGSM </w:t>
      </w:r>
      <w:r w:rsidR="00B91E7A" w:rsidRPr="00BB3D52">
        <w:rPr>
          <w:rFonts w:cs="Times New Roman"/>
          <w:sz w:val="24"/>
          <w:szCs w:val="24"/>
        </w:rPr>
        <w:t>Bonds and notes increased 1.8% in 2021 and averaged 86.3% of the portfolio in the previous five years. Short-term Treasury Bills stood at 13.9% of the RGSM portfolio in 2021 and increased by 12.1% over the year.</w:t>
      </w:r>
      <w:r w:rsidR="00B91E7A" w:rsidRPr="00BB3D52">
        <w:rPr>
          <w:rFonts w:cs="Times New Roman"/>
          <w:color w:val="FF0000"/>
          <w:sz w:val="24"/>
          <w:szCs w:val="24"/>
        </w:rPr>
        <w:t xml:space="preserve"> </w:t>
      </w:r>
      <w:r w:rsidR="00B91E7A" w:rsidRPr="00BB3D52">
        <w:rPr>
          <w:rFonts w:cs="Times New Roman"/>
          <w:sz w:val="24"/>
          <w:szCs w:val="24"/>
        </w:rPr>
        <w:t>Treasury Bills averaged 13.7% of the portfolio the previous five years.</w:t>
      </w:r>
      <w:r w:rsidR="00B91E7A" w:rsidRPr="00BB3D52">
        <w:rPr>
          <w:rFonts w:cs="Times New Roman"/>
          <w:color w:val="FF0000"/>
          <w:sz w:val="24"/>
          <w:szCs w:val="24"/>
        </w:rPr>
        <w:t xml:space="preserve"> </w:t>
      </w:r>
    </w:p>
    <w:p w14:paraId="2575A216" w14:textId="77777777" w:rsidR="00C8590B" w:rsidRDefault="00365B1B" w:rsidP="00E0795E">
      <w:pPr>
        <w:spacing w:line="360" w:lineRule="auto"/>
        <w:jc w:val="both"/>
        <w:rPr>
          <w:rFonts w:cs="Times New Roman"/>
          <w:sz w:val="24"/>
          <w:szCs w:val="24"/>
        </w:rPr>
      </w:pPr>
      <w:r w:rsidRPr="00BB3D52">
        <w:rPr>
          <w:rFonts w:cs="Times New Roman"/>
          <w:sz w:val="24"/>
          <w:szCs w:val="24"/>
        </w:rPr>
        <w:t xml:space="preserve">The </w:t>
      </w:r>
      <w:r w:rsidR="00DD5C0B">
        <w:rPr>
          <w:rFonts w:cs="Times New Roman"/>
          <w:sz w:val="24"/>
          <w:szCs w:val="24"/>
        </w:rPr>
        <w:t>GOSL</w:t>
      </w:r>
      <w:r w:rsidR="00D93ADD">
        <w:rPr>
          <w:rFonts w:cs="Times New Roman"/>
          <w:sz w:val="24"/>
          <w:szCs w:val="24"/>
        </w:rPr>
        <w:t xml:space="preserve"> uses t</w:t>
      </w:r>
      <w:r w:rsidRPr="00BB3D52">
        <w:rPr>
          <w:rFonts w:cs="Times New Roman"/>
          <w:sz w:val="24"/>
          <w:szCs w:val="24"/>
        </w:rPr>
        <w:t>he RGSM platform as a vital price disco</w:t>
      </w:r>
      <w:r w:rsidR="00D93ADD">
        <w:rPr>
          <w:rFonts w:cs="Times New Roman"/>
          <w:sz w:val="24"/>
          <w:szCs w:val="24"/>
        </w:rPr>
        <w:t>very tool and is committed</w:t>
      </w:r>
      <w:r w:rsidRPr="00BB3D52">
        <w:rPr>
          <w:rFonts w:cs="Times New Roman"/>
          <w:sz w:val="24"/>
          <w:szCs w:val="24"/>
        </w:rPr>
        <w:t xml:space="preserve"> to a continued dominant presence on the RGSM. There were seventeen (17) auctions on the RGSM platform in 2021</w:t>
      </w:r>
      <w:r w:rsidR="00F666A4">
        <w:rPr>
          <w:rFonts w:cs="Times New Roman"/>
          <w:sz w:val="24"/>
          <w:szCs w:val="24"/>
        </w:rPr>
        <w:t>,</w:t>
      </w:r>
      <w:r w:rsidRPr="00BB3D52">
        <w:rPr>
          <w:rFonts w:cs="Times New Roman"/>
          <w:color w:val="FF0000"/>
          <w:sz w:val="24"/>
          <w:szCs w:val="24"/>
        </w:rPr>
        <w:t xml:space="preserve"> </w:t>
      </w:r>
      <w:r w:rsidRPr="00BB3D52">
        <w:rPr>
          <w:rFonts w:cs="Times New Roman"/>
          <w:sz w:val="24"/>
          <w:szCs w:val="24"/>
        </w:rPr>
        <w:t xml:space="preserve">two (2) Bonds, one (1) </w:t>
      </w:r>
      <w:r w:rsidR="004B5BCA" w:rsidRPr="00BB3D52">
        <w:rPr>
          <w:rFonts w:cs="Times New Roman"/>
          <w:sz w:val="24"/>
          <w:szCs w:val="24"/>
        </w:rPr>
        <w:t>Note,</w:t>
      </w:r>
      <w:r w:rsidRPr="00BB3D52">
        <w:rPr>
          <w:rFonts w:cs="Times New Roman"/>
          <w:sz w:val="24"/>
          <w:szCs w:val="24"/>
        </w:rPr>
        <w:t xml:space="preserve"> a</w:t>
      </w:r>
      <w:r w:rsidR="00F666A4">
        <w:rPr>
          <w:rFonts w:cs="Times New Roman"/>
          <w:sz w:val="24"/>
          <w:szCs w:val="24"/>
        </w:rPr>
        <w:t>nd fourteen (14) Treasury Bills</w:t>
      </w:r>
      <w:r w:rsidRPr="00BB3D52">
        <w:rPr>
          <w:rFonts w:cs="Times New Roman"/>
          <w:sz w:val="24"/>
          <w:szCs w:val="24"/>
        </w:rPr>
        <w:t>.</w:t>
      </w:r>
      <w:r w:rsidRPr="00BB3D52">
        <w:rPr>
          <w:rFonts w:cs="Times New Roman"/>
          <w:color w:val="FF0000"/>
          <w:sz w:val="24"/>
          <w:szCs w:val="24"/>
        </w:rPr>
        <w:t xml:space="preserve"> </w:t>
      </w:r>
      <w:r w:rsidRPr="00BB3D52">
        <w:rPr>
          <w:rFonts w:cs="Times New Roman"/>
          <w:sz w:val="24"/>
          <w:szCs w:val="24"/>
        </w:rPr>
        <w:t xml:space="preserve">The </w:t>
      </w:r>
      <w:r w:rsidR="00DD5C0B">
        <w:rPr>
          <w:rFonts w:cs="Times New Roman"/>
          <w:sz w:val="24"/>
          <w:szCs w:val="24"/>
        </w:rPr>
        <w:t>GOSL</w:t>
      </w:r>
      <w:r w:rsidRPr="00BB3D52">
        <w:rPr>
          <w:rFonts w:cs="Times New Roman"/>
          <w:sz w:val="24"/>
          <w:szCs w:val="24"/>
        </w:rPr>
        <w:t xml:space="preserve"> auctioned a total of $332.90M</w:t>
      </w:r>
      <w:r w:rsidR="00D93ADD">
        <w:rPr>
          <w:rFonts w:cs="Times New Roman"/>
          <w:sz w:val="24"/>
          <w:szCs w:val="24"/>
        </w:rPr>
        <w:t>,</w:t>
      </w:r>
      <w:r w:rsidRPr="00BB3D52">
        <w:rPr>
          <w:rFonts w:cs="Times New Roman"/>
          <w:sz w:val="24"/>
          <w:szCs w:val="24"/>
        </w:rPr>
        <w:t xml:space="preserve"> garnering a total bid value of $314.13M.</w:t>
      </w:r>
      <w:r w:rsidRPr="00BB3D52">
        <w:rPr>
          <w:rFonts w:cs="Times New Roman"/>
          <w:color w:val="FF0000"/>
          <w:sz w:val="24"/>
          <w:szCs w:val="24"/>
        </w:rPr>
        <w:t xml:space="preserve"> </w:t>
      </w:r>
      <w:r w:rsidRPr="00BB3D52">
        <w:rPr>
          <w:rFonts w:cs="Times New Roman"/>
          <w:sz w:val="24"/>
          <w:szCs w:val="24"/>
        </w:rPr>
        <w:t xml:space="preserve">Five (5) treasury bills, one (1) </w:t>
      </w:r>
      <w:r w:rsidR="00F666A4" w:rsidRPr="00BB3D52">
        <w:rPr>
          <w:rFonts w:cs="Times New Roman"/>
          <w:sz w:val="24"/>
          <w:szCs w:val="24"/>
        </w:rPr>
        <w:t>note,</w:t>
      </w:r>
      <w:r w:rsidRPr="00BB3D52">
        <w:rPr>
          <w:rFonts w:cs="Times New Roman"/>
          <w:sz w:val="24"/>
          <w:szCs w:val="24"/>
        </w:rPr>
        <w:t xml:space="preserve"> and one (1) bond auction were oversubscribed. </w:t>
      </w:r>
    </w:p>
    <w:p w14:paraId="7EFB2321" w14:textId="7131FAF6" w:rsidR="00B91E7A" w:rsidRPr="00BB3D52" w:rsidRDefault="005031B7" w:rsidP="00E0795E">
      <w:pPr>
        <w:spacing w:line="360" w:lineRule="auto"/>
        <w:jc w:val="both"/>
        <w:rPr>
          <w:rFonts w:cs="Times New Roman"/>
          <w:sz w:val="24"/>
          <w:szCs w:val="24"/>
        </w:rPr>
      </w:pPr>
      <w:r w:rsidRPr="005031B7">
        <w:rPr>
          <w:rFonts w:cs="Times New Roman"/>
          <w:sz w:val="24"/>
          <w:szCs w:val="24"/>
        </w:rPr>
        <w:t xml:space="preserve">The bid-to-cover ratio is the dollar amount of bids received in a Treasury security auction versus the amount sold. The bid-to-cover ratio is an indicator of the demand for </w:t>
      </w:r>
      <w:r w:rsidR="003F21CF">
        <w:rPr>
          <w:rFonts w:cs="Times New Roman"/>
          <w:sz w:val="24"/>
          <w:szCs w:val="24"/>
        </w:rPr>
        <w:t xml:space="preserve">a country’s </w:t>
      </w:r>
      <w:r w:rsidRPr="005031B7">
        <w:rPr>
          <w:rFonts w:cs="Times New Roman"/>
          <w:sz w:val="24"/>
          <w:szCs w:val="24"/>
        </w:rPr>
        <w:t xml:space="preserve">securities. A high ratio </w:t>
      </w:r>
      <w:r w:rsidR="003F21CF">
        <w:rPr>
          <w:rFonts w:cs="Times New Roman"/>
          <w:sz w:val="24"/>
          <w:szCs w:val="24"/>
        </w:rPr>
        <w:t>(</w:t>
      </w:r>
      <w:r w:rsidR="007C4227" w:rsidRPr="007C4227">
        <w:rPr>
          <w:rFonts w:cs="Times New Roman"/>
          <w:szCs w:val="16"/>
        </w:rPr>
        <w:t>≥</w:t>
      </w:r>
      <w:r w:rsidR="003F21CF">
        <w:rPr>
          <w:rFonts w:cs="Times New Roman"/>
          <w:sz w:val="24"/>
          <w:szCs w:val="24"/>
        </w:rPr>
        <w:t>1</w:t>
      </w:r>
      <w:r w:rsidR="007C4227">
        <w:rPr>
          <w:rFonts w:cs="Times New Roman"/>
          <w:sz w:val="24"/>
          <w:szCs w:val="24"/>
        </w:rPr>
        <w:t>.0</w:t>
      </w:r>
      <w:r w:rsidR="003F21CF">
        <w:rPr>
          <w:rFonts w:cs="Times New Roman"/>
          <w:sz w:val="24"/>
          <w:szCs w:val="24"/>
        </w:rPr>
        <w:t>)</w:t>
      </w:r>
      <w:r w:rsidR="007C4227">
        <w:rPr>
          <w:rFonts w:cs="Times New Roman"/>
          <w:sz w:val="24"/>
          <w:szCs w:val="24"/>
        </w:rPr>
        <w:t xml:space="preserve"> </w:t>
      </w:r>
      <w:r w:rsidRPr="005031B7">
        <w:rPr>
          <w:rFonts w:cs="Times New Roman"/>
          <w:sz w:val="24"/>
          <w:szCs w:val="24"/>
        </w:rPr>
        <w:t xml:space="preserve">is an indication of strong demand. </w:t>
      </w:r>
      <w:r w:rsidR="002A55D9">
        <w:rPr>
          <w:rFonts w:cs="Times New Roman"/>
          <w:sz w:val="24"/>
          <w:szCs w:val="24"/>
        </w:rPr>
        <w:t xml:space="preserve">In 2021, the </w:t>
      </w:r>
      <w:r w:rsidR="00DD5C0B">
        <w:rPr>
          <w:rFonts w:cs="Times New Roman"/>
          <w:sz w:val="24"/>
          <w:szCs w:val="24"/>
        </w:rPr>
        <w:t>GOSL</w:t>
      </w:r>
      <w:r w:rsidR="002A55D9">
        <w:rPr>
          <w:rFonts w:cs="Times New Roman"/>
          <w:sz w:val="24"/>
          <w:szCs w:val="24"/>
        </w:rPr>
        <w:t>’s average bid-to-cover ratio was 1.06</w:t>
      </w:r>
      <w:r w:rsidR="00D93ADD">
        <w:rPr>
          <w:rFonts w:cs="Times New Roman"/>
          <w:sz w:val="24"/>
          <w:szCs w:val="24"/>
        </w:rPr>
        <w:t>,</w:t>
      </w:r>
      <w:r w:rsidR="002A55D9">
        <w:rPr>
          <w:rFonts w:cs="Times New Roman"/>
          <w:sz w:val="24"/>
          <w:szCs w:val="24"/>
        </w:rPr>
        <w:t xml:space="preserve"> indicati</w:t>
      </w:r>
      <w:r w:rsidR="00D93ADD">
        <w:rPr>
          <w:rFonts w:cs="Times New Roman"/>
          <w:sz w:val="24"/>
          <w:szCs w:val="24"/>
        </w:rPr>
        <w:t>ng a high demand for its</w:t>
      </w:r>
      <w:r w:rsidR="002A55D9">
        <w:rPr>
          <w:rFonts w:cs="Times New Roman"/>
          <w:sz w:val="24"/>
          <w:szCs w:val="24"/>
        </w:rPr>
        <w:t xml:space="preserve"> paper. </w:t>
      </w:r>
      <w:r w:rsidR="00F666A4">
        <w:rPr>
          <w:rFonts w:cs="Times New Roman"/>
          <w:sz w:val="24"/>
          <w:szCs w:val="24"/>
        </w:rPr>
        <w:t>(</w:t>
      </w:r>
      <w:r w:rsidR="00392EA2">
        <w:rPr>
          <w:rFonts w:cs="Times New Roman"/>
          <w:sz w:val="24"/>
          <w:szCs w:val="24"/>
        </w:rPr>
        <w:t>Figure</w:t>
      </w:r>
      <w:r w:rsidR="00F666A4">
        <w:rPr>
          <w:rFonts w:cs="Times New Roman"/>
          <w:sz w:val="24"/>
          <w:szCs w:val="24"/>
        </w:rPr>
        <w:t xml:space="preserve"> 16)  </w:t>
      </w:r>
    </w:p>
    <w:p w14:paraId="037F9A35" w14:textId="77777777" w:rsidR="00B91E7A" w:rsidRPr="00BB3D52" w:rsidRDefault="00365B1B" w:rsidP="00E0795E">
      <w:pPr>
        <w:pStyle w:val="Heading2"/>
        <w:spacing w:line="360" w:lineRule="auto"/>
        <w:rPr>
          <w:rFonts w:cs="Times New Roman"/>
          <w:sz w:val="24"/>
          <w:szCs w:val="24"/>
        </w:rPr>
      </w:pPr>
      <w:bookmarkStart w:id="96" w:name="_Toc102558930"/>
      <w:r>
        <w:rPr>
          <w:rFonts w:cs="Times New Roman"/>
          <w:sz w:val="24"/>
          <w:szCs w:val="24"/>
        </w:rPr>
        <w:t>5</w:t>
      </w:r>
      <w:r w:rsidRPr="00BB3D52">
        <w:rPr>
          <w:rFonts w:cs="Times New Roman"/>
          <w:sz w:val="24"/>
          <w:szCs w:val="24"/>
        </w:rPr>
        <w:t>.2 Private Placement Securities</w:t>
      </w:r>
      <w:bookmarkEnd w:id="96"/>
    </w:p>
    <w:p w14:paraId="514BA869" w14:textId="09A5BF18" w:rsidR="009A19F8" w:rsidRPr="00BB3D52" w:rsidRDefault="00365B1B" w:rsidP="00E0795E">
      <w:pPr>
        <w:spacing w:line="360" w:lineRule="auto"/>
        <w:jc w:val="both"/>
        <w:rPr>
          <w:rFonts w:cs="Times New Roman"/>
          <w:sz w:val="24"/>
          <w:szCs w:val="24"/>
        </w:rPr>
      </w:pPr>
      <w:r w:rsidRPr="00BB3D52">
        <w:rPr>
          <w:rFonts w:cs="Times New Roman"/>
          <w:sz w:val="24"/>
          <w:szCs w:val="24"/>
        </w:rPr>
        <w:t>The private placement portfolio increased by $</w:t>
      </w:r>
      <w:r w:rsidR="000B4518">
        <w:rPr>
          <w:rFonts w:cs="Times New Roman"/>
          <w:sz w:val="24"/>
          <w:szCs w:val="24"/>
        </w:rPr>
        <w:t>50.48</w:t>
      </w:r>
      <w:r w:rsidRPr="00BB3D52">
        <w:rPr>
          <w:rFonts w:cs="Times New Roman"/>
          <w:sz w:val="24"/>
          <w:szCs w:val="24"/>
        </w:rPr>
        <w:t xml:space="preserve">M or </w:t>
      </w:r>
      <w:r w:rsidR="000B4518">
        <w:rPr>
          <w:rFonts w:cs="Times New Roman"/>
          <w:sz w:val="24"/>
          <w:szCs w:val="24"/>
        </w:rPr>
        <w:t>3.30</w:t>
      </w:r>
      <w:r w:rsidRPr="00BB3D52">
        <w:rPr>
          <w:rFonts w:cs="Times New Roman"/>
          <w:sz w:val="24"/>
          <w:szCs w:val="24"/>
        </w:rPr>
        <w:t>% in 2021</w:t>
      </w:r>
      <w:r w:rsidR="000B4518">
        <w:rPr>
          <w:rFonts w:cs="Times New Roman"/>
          <w:sz w:val="24"/>
          <w:szCs w:val="24"/>
        </w:rPr>
        <w:t xml:space="preserve"> compared to 2020</w:t>
      </w:r>
      <w:r w:rsidRPr="00BB3D52">
        <w:rPr>
          <w:rFonts w:cs="Times New Roman"/>
          <w:sz w:val="24"/>
          <w:szCs w:val="24"/>
        </w:rPr>
        <w:t>.</w:t>
      </w:r>
      <w:r w:rsidRPr="00BB3D52">
        <w:rPr>
          <w:rFonts w:cs="Times New Roman"/>
          <w:color w:val="FF0000"/>
          <w:sz w:val="24"/>
          <w:szCs w:val="24"/>
        </w:rPr>
        <w:t xml:space="preserve"> </w:t>
      </w:r>
      <w:r w:rsidRPr="00BB3D52">
        <w:rPr>
          <w:rFonts w:cs="Times New Roman"/>
          <w:sz w:val="24"/>
          <w:szCs w:val="24"/>
        </w:rPr>
        <w:t>Bonds and notes dominated the</w:t>
      </w:r>
      <w:r w:rsidR="000B4518">
        <w:rPr>
          <w:rFonts w:cs="Times New Roman"/>
          <w:sz w:val="24"/>
          <w:szCs w:val="24"/>
        </w:rPr>
        <w:t xml:space="preserve"> Private Placement Securities</w:t>
      </w:r>
      <w:r w:rsidRPr="00BB3D52">
        <w:rPr>
          <w:rFonts w:cs="Times New Roman"/>
          <w:sz w:val="24"/>
          <w:szCs w:val="24"/>
        </w:rPr>
        <w:t xml:space="preserve"> portfolio in 2021 </w:t>
      </w:r>
      <w:r w:rsidRPr="005702C6">
        <w:rPr>
          <w:rFonts w:cs="Times New Roman"/>
          <w:sz w:val="24"/>
          <w:szCs w:val="24"/>
        </w:rPr>
        <w:t>total</w:t>
      </w:r>
      <w:r w:rsidR="000B4518" w:rsidRPr="005702C6">
        <w:rPr>
          <w:rFonts w:cs="Times New Roman"/>
          <w:sz w:val="24"/>
          <w:szCs w:val="24"/>
        </w:rPr>
        <w:t>l</w:t>
      </w:r>
      <w:r w:rsidRPr="005702C6">
        <w:rPr>
          <w:rFonts w:cs="Times New Roman"/>
          <w:sz w:val="24"/>
          <w:szCs w:val="24"/>
        </w:rPr>
        <w:t>ing</w:t>
      </w:r>
      <w:r w:rsidRPr="00BB3D52">
        <w:rPr>
          <w:rFonts w:cs="Times New Roman"/>
          <w:sz w:val="24"/>
          <w:szCs w:val="24"/>
        </w:rPr>
        <w:t xml:space="preserve"> $1,32</w:t>
      </w:r>
      <w:r w:rsidR="000B4518">
        <w:rPr>
          <w:rFonts w:cs="Times New Roman"/>
          <w:sz w:val="24"/>
          <w:szCs w:val="24"/>
        </w:rPr>
        <w:t>6.77</w:t>
      </w:r>
      <w:r w:rsidRPr="00BB3D52">
        <w:rPr>
          <w:rFonts w:cs="Times New Roman"/>
          <w:sz w:val="24"/>
          <w:szCs w:val="24"/>
        </w:rPr>
        <w:t xml:space="preserve">M or 84.0%, while Treasury Bills </w:t>
      </w:r>
      <w:r w:rsidR="005702C6" w:rsidRPr="00BB3D52">
        <w:rPr>
          <w:rFonts w:cs="Times New Roman"/>
          <w:sz w:val="24"/>
          <w:szCs w:val="24"/>
        </w:rPr>
        <w:t>totalled</w:t>
      </w:r>
      <w:r w:rsidRPr="00BB3D52">
        <w:rPr>
          <w:rFonts w:cs="Times New Roman"/>
          <w:sz w:val="24"/>
          <w:szCs w:val="24"/>
        </w:rPr>
        <w:t xml:space="preserve"> $251.83M or 16.0%. Bonds and notes increased by $49.70M or 3.9% in 2021 while Treasury Bills increased by $22.35M or 9.7%, comparable with the RGSM platform where both categories of </w:t>
      </w:r>
      <w:r w:rsidR="009C0E53">
        <w:rPr>
          <w:noProof/>
          <w:lang w:val="en-US"/>
        </w:rPr>
        <mc:AlternateContent>
          <mc:Choice Requires="wps">
            <w:drawing>
              <wp:anchor distT="0" distB="0" distL="114300" distR="114300" simplePos="0" relativeHeight="251724800" behindDoc="0" locked="0" layoutInCell="1" allowOverlap="1" wp14:anchorId="063645B9" wp14:editId="6B1D900A">
                <wp:simplePos x="0" y="0"/>
                <wp:positionH relativeFrom="margin">
                  <wp:posOffset>3162300</wp:posOffset>
                </wp:positionH>
                <wp:positionV relativeFrom="paragraph">
                  <wp:posOffset>28575</wp:posOffset>
                </wp:positionV>
                <wp:extent cx="2457450" cy="161925"/>
                <wp:effectExtent l="0" t="0" r="0" b="9525"/>
                <wp:wrapSquare wrapText="bothSides"/>
                <wp:docPr id="46" name="Text Box 46"/>
                <wp:cNvGraphicFramePr/>
                <a:graphic xmlns:a="http://schemas.openxmlformats.org/drawingml/2006/main">
                  <a:graphicData uri="http://schemas.microsoft.com/office/word/2010/wordprocessingShape">
                    <wps:wsp>
                      <wps:cNvSpPr txBox="1"/>
                      <wps:spPr>
                        <a:xfrm>
                          <a:off x="0" y="0"/>
                          <a:ext cx="2457450" cy="161925"/>
                        </a:xfrm>
                        <a:prstGeom prst="rect">
                          <a:avLst/>
                        </a:prstGeom>
                        <a:solidFill>
                          <a:prstClr val="white"/>
                        </a:solidFill>
                        <a:ln>
                          <a:noFill/>
                        </a:ln>
                        <a:effectLst/>
                      </wps:spPr>
                      <wps:txbx>
                        <w:txbxContent>
                          <w:p w14:paraId="780D8DBC" w14:textId="77777777" w:rsidR="005C750A" w:rsidRPr="009C0E53" w:rsidRDefault="005C750A" w:rsidP="007976F6">
                            <w:bookmarkStart w:id="97" w:name="_Toc102559787"/>
                            <w:bookmarkStart w:id="98" w:name="_Toc102560685"/>
                            <w:r w:rsidRPr="009C0E53">
                              <w:t xml:space="preserve">Figure </w:t>
                            </w:r>
                            <w:r w:rsidR="002E1637">
                              <w:fldChar w:fldCharType="begin"/>
                            </w:r>
                            <w:r w:rsidR="002E1637">
                              <w:instrText xml:space="preserve"> SEQ Figure \* ARABIC </w:instrText>
                            </w:r>
                            <w:r w:rsidR="002E1637">
                              <w:fldChar w:fldCharType="separate"/>
                            </w:r>
                            <w:r>
                              <w:rPr>
                                <w:noProof/>
                              </w:rPr>
                              <w:t>17</w:t>
                            </w:r>
                            <w:r w:rsidR="002E1637">
                              <w:rPr>
                                <w:noProof/>
                              </w:rPr>
                              <w:fldChar w:fldCharType="end"/>
                            </w:r>
                            <w:r w:rsidRPr="009C0E53">
                              <w:t xml:space="preserve">: </w:t>
                            </w:r>
                            <w:r w:rsidRPr="009C0E53">
                              <w:rPr>
                                <w:lang w:val="en-US"/>
                              </w:rPr>
                              <w:t>Private Placement Securities 2017-2021</w:t>
                            </w:r>
                            <w:bookmarkEnd w:id="97"/>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63645B9" id="Text Box 46" o:spid="_x0000_s1047" type="#_x0000_t202" style="position:absolute;left:0;text-align:left;margin-left:249pt;margin-top:2.25pt;width:193.5pt;height:12.7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" stroked="f">
                <v:textbox inset="0,0,0,0">
                  <w:txbxContent>
                    <w:p w14:paraId="780D8DBC" w14:textId="77777777" w:rsidR="005C750A" w:rsidRPr="009C0E53" w:rsidRDefault="005C750A" w:rsidP="007976F6">
                      <w:bookmarkStart w:id="131" w:name="_Toc102559787"/>
                      <w:bookmarkStart w:id="132" w:name="_Toc102560685"/>
                      <w:r w:rsidRPr="009C0E53">
                        <w:t xml:space="preserve">Figure </w:t>
                      </w:r>
                      <w:fldSimple w:instr=" SEQ Figure \* ARABIC ">
                        <w:r>
                          <w:rPr>
                            <w:noProof/>
                          </w:rPr>
                          <w:t>17</w:t>
                        </w:r>
                      </w:fldSimple>
                      <w:r w:rsidRPr="009C0E53">
                        <w:t xml:space="preserve">: </w:t>
                      </w:r>
                      <w:r w:rsidRPr="009C0E53">
                        <w:rPr>
                          <w:lang w:val="en-US"/>
                        </w:rPr>
                        <w:t>Private Placement Securities 2017-2021</w:t>
                      </w:r>
                      <w:bookmarkEnd w:id="131"/>
                      <w:bookmarkEnd w:id="132"/>
                    </w:p>
                  </w:txbxContent>
                </v:textbox>
                <w10:wrap type="square" anchorx="margin"/>
              </v:shape>
            </w:pict>
          </mc:Fallback>
        </mc:AlternateContent>
      </w:r>
      <w:r w:rsidR="00F666A4">
        <w:rPr>
          <w:noProof/>
          <w:lang w:val="en-US"/>
        </w:rPr>
        <w:drawing>
          <wp:anchor distT="0" distB="0" distL="114300" distR="114300" simplePos="0" relativeHeight="251673600" behindDoc="0" locked="0" layoutInCell="1" allowOverlap="1" wp14:anchorId="682BB48F" wp14:editId="6FBAC590">
            <wp:simplePos x="0" y="0"/>
            <wp:positionH relativeFrom="margin">
              <wp:align>right</wp:align>
            </wp:positionH>
            <wp:positionV relativeFrom="paragraph">
              <wp:posOffset>408</wp:posOffset>
            </wp:positionV>
            <wp:extent cx="3291840" cy="1920240"/>
            <wp:effectExtent l="0" t="0" r="0" b="3810"/>
            <wp:wrapSquare wrapText="bothSides"/>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sidRPr="00BB3D52">
        <w:rPr>
          <w:rFonts w:cs="Times New Roman"/>
          <w:sz w:val="24"/>
          <w:szCs w:val="24"/>
        </w:rPr>
        <w:t>securities increased in 2021</w:t>
      </w:r>
      <w:r w:rsidRPr="0033616F">
        <w:rPr>
          <w:rFonts w:cs="Times New Roman"/>
          <w:sz w:val="24"/>
          <w:szCs w:val="24"/>
        </w:rPr>
        <w:t xml:space="preserve">. The </w:t>
      </w:r>
      <w:r w:rsidR="00DD5C0B">
        <w:rPr>
          <w:rFonts w:cs="Times New Roman"/>
          <w:sz w:val="24"/>
          <w:szCs w:val="24"/>
        </w:rPr>
        <w:t>GOSL</w:t>
      </w:r>
      <w:r w:rsidRPr="0033616F">
        <w:rPr>
          <w:rFonts w:cs="Times New Roman"/>
          <w:sz w:val="24"/>
          <w:szCs w:val="24"/>
        </w:rPr>
        <w:t xml:space="preserve"> increased its dependence on the pr</w:t>
      </w:r>
      <w:r w:rsidR="00B246D4" w:rsidRPr="0033616F">
        <w:rPr>
          <w:rFonts w:cs="Times New Roman"/>
          <w:sz w:val="24"/>
          <w:szCs w:val="24"/>
        </w:rPr>
        <w:t>ivate placement platform in 2021</w:t>
      </w:r>
      <w:r w:rsidRPr="0033616F">
        <w:rPr>
          <w:rFonts w:cs="Times New Roman"/>
          <w:sz w:val="24"/>
          <w:szCs w:val="24"/>
        </w:rPr>
        <w:t xml:space="preserve"> due to the </w:t>
      </w:r>
      <w:r w:rsidRPr="005702C6">
        <w:rPr>
          <w:rFonts w:cs="Times New Roman"/>
          <w:sz w:val="24"/>
          <w:szCs w:val="24"/>
        </w:rPr>
        <w:t>declining funding</w:t>
      </w:r>
      <w:r w:rsidRPr="0033616F">
        <w:rPr>
          <w:rFonts w:cs="Times New Roman"/>
          <w:sz w:val="24"/>
          <w:szCs w:val="24"/>
        </w:rPr>
        <w:t xml:space="preserve"> received from the RGSM. </w:t>
      </w:r>
      <w:r w:rsidR="00DA2EDB">
        <w:rPr>
          <w:rFonts w:cs="Times New Roman"/>
          <w:sz w:val="24"/>
          <w:szCs w:val="24"/>
        </w:rPr>
        <w:t>The majority of holders are domestic while exhibiting buy-and-hold tendencies</w:t>
      </w:r>
      <w:r w:rsidRPr="0033616F">
        <w:rPr>
          <w:rFonts w:cs="Times New Roman"/>
          <w:sz w:val="24"/>
          <w:szCs w:val="24"/>
        </w:rPr>
        <w:t>.</w:t>
      </w:r>
      <w:r w:rsidRPr="00BB3D52">
        <w:rPr>
          <w:rFonts w:cs="Times New Roman"/>
          <w:color w:val="FF0000"/>
          <w:sz w:val="24"/>
          <w:szCs w:val="24"/>
        </w:rPr>
        <w:t xml:space="preserve"> </w:t>
      </w:r>
      <w:r w:rsidRPr="00BB3D52">
        <w:rPr>
          <w:rFonts w:cs="Times New Roman"/>
          <w:sz w:val="24"/>
          <w:szCs w:val="24"/>
        </w:rPr>
        <w:t xml:space="preserve">Private-placement securities dominated the securities platform with 65.8% as opposed to the RGSM with 34.2%. Private placement securities averaged 62.3% of the securities portfolio from 2017 to 2021 and increased every year due to the relative ease and speed of garnering funding. Over the review period, </w:t>
      </w:r>
      <w:r w:rsidR="00E46BF0">
        <w:rPr>
          <w:rFonts w:cs="Times New Roman"/>
          <w:sz w:val="24"/>
          <w:szCs w:val="24"/>
        </w:rPr>
        <w:t xml:space="preserve">the stock of </w:t>
      </w:r>
      <w:r w:rsidRPr="00BB3D52">
        <w:rPr>
          <w:rFonts w:cs="Times New Roman"/>
          <w:sz w:val="24"/>
          <w:szCs w:val="24"/>
        </w:rPr>
        <w:t>bonds and notes averaged the la</w:t>
      </w:r>
      <w:r w:rsidR="00E46BF0">
        <w:rPr>
          <w:rFonts w:cs="Times New Roman"/>
          <w:sz w:val="24"/>
          <w:szCs w:val="24"/>
        </w:rPr>
        <w:t>rger share of private placement securities,</w:t>
      </w:r>
      <w:r w:rsidRPr="00BB3D52">
        <w:rPr>
          <w:rFonts w:cs="Times New Roman"/>
          <w:sz w:val="24"/>
          <w:szCs w:val="24"/>
        </w:rPr>
        <w:t xml:space="preserve"> </w:t>
      </w:r>
      <w:r w:rsidR="00E46BF0">
        <w:rPr>
          <w:rFonts w:cs="Times New Roman"/>
          <w:sz w:val="24"/>
          <w:szCs w:val="24"/>
        </w:rPr>
        <w:t>increasing</w:t>
      </w:r>
      <w:r w:rsidRPr="00BB3D52">
        <w:rPr>
          <w:rFonts w:cs="Times New Roman"/>
          <w:sz w:val="24"/>
          <w:szCs w:val="24"/>
        </w:rPr>
        <w:t xml:space="preserve"> 81.6% yearly</w:t>
      </w:r>
      <w:r w:rsidR="00E46BF0">
        <w:rPr>
          <w:rFonts w:cs="Times New Roman"/>
          <w:sz w:val="24"/>
          <w:szCs w:val="24"/>
        </w:rPr>
        <w:t>. T</w:t>
      </w:r>
      <w:r w:rsidRPr="00BB3D52">
        <w:rPr>
          <w:rFonts w:cs="Times New Roman"/>
          <w:sz w:val="24"/>
          <w:szCs w:val="24"/>
        </w:rPr>
        <w:t xml:space="preserve">reasury bills </w:t>
      </w:r>
      <w:r w:rsidR="00E46BF0">
        <w:rPr>
          <w:rFonts w:cs="Times New Roman"/>
          <w:sz w:val="24"/>
          <w:szCs w:val="24"/>
        </w:rPr>
        <w:t xml:space="preserve">stock </w:t>
      </w:r>
      <w:r w:rsidRPr="00BB3D52">
        <w:rPr>
          <w:rFonts w:cs="Times New Roman"/>
          <w:sz w:val="24"/>
          <w:szCs w:val="24"/>
        </w:rPr>
        <w:t>averaged 18.4% fr</w:t>
      </w:r>
      <w:r w:rsidR="00E46BF0">
        <w:rPr>
          <w:rFonts w:cs="Times New Roman"/>
          <w:sz w:val="24"/>
          <w:szCs w:val="24"/>
        </w:rPr>
        <w:t xml:space="preserve">om 2017 to 2021, declining on average </w:t>
      </w:r>
      <w:r w:rsidRPr="00BB3D52">
        <w:rPr>
          <w:rFonts w:cs="Times New Roman"/>
          <w:sz w:val="24"/>
          <w:szCs w:val="24"/>
        </w:rPr>
        <w:t>6.1% over the five</w:t>
      </w:r>
      <w:r w:rsidRPr="00BB3D52">
        <w:rPr>
          <w:rFonts w:cs="Times New Roman"/>
          <w:color w:val="FF0000"/>
          <w:sz w:val="24"/>
          <w:szCs w:val="24"/>
        </w:rPr>
        <w:t xml:space="preserve"> </w:t>
      </w:r>
      <w:r w:rsidRPr="00455B7C">
        <w:rPr>
          <w:rFonts w:cs="Times New Roman"/>
          <w:sz w:val="24"/>
          <w:szCs w:val="24"/>
        </w:rPr>
        <w:t xml:space="preserve">years </w:t>
      </w:r>
      <w:r w:rsidRPr="00BB3D52">
        <w:rPr>
          <w:rFonts w:cs="Times New Roman"/>
          <w:sz w:val="24"/>
          <w:szCs w:val="24"/>
        </w:rPr>
        <w:t xml:space="preserve">in keeping with the </w:t>
      </w:r>
      <w:r w:rsidR="00DD5C0B">
        <w:rPr>
          <w:rFonts w:cs="Times New Roman"/>
          <w:sz w:val="24"/>
          <w:szCs w:val="24"/>
        </w:rPr>
        <w:t>GOSL</w:t>
      </w:r>
      <w:r w:rsidRPr="00BB3D52">
        <w:rPr>
          <w:rFonts w:cs="Times New Roman"/>
          <w:sz w:val="24"/>
          <w:szCs w:val="24"/>
        </w:rPr>
        <w:t>'s target of lengthening the ATM by biasing medium-term instruments.</w:t>
      </w:r>
      <w:r w:rsidRPr="00BB3D52">
        <w:rPr>
          <w:rFonts w:cs="Times New Roman"/>
          <w:color w:val="FF0000"/>
          <w:sz w:val="24"/>
          <w:szCs w:val="24"/>
        </w:rPr>
        <w:t xml:space="preserve"> </w:t>
      </w:r>
      <w:r w:rsidR="00F666A4">
        <w:rPr>
          <w:rFonts w:cs="Times New Roman"/>
          <w:sz w:val="24"/>
          <w:szCs w:val="24"/>
        </w:rPr>
        <w:t>(</w:t>
      </w:r>
      <w:r w:rsidR="00392EA2">
        <w:rPr>
          <w:rFonts w:cs="Times New Roman"/>
          <w:sz w:val="24"/>
          <w:szCs w:val="24"/>
        </w:rPr>
        <w:t>Figure</w:t>
      </w:r>
      <w:r w:rsidR="00F666A4">
        <w:rPr>
          <w:rFonts w:cs="Times New Roman"/>
          <w:sz w:val="24"/>
          <w:szCs w:val="24"/>
        </w:rPr>
        <w:t xml:space="preserve"> 17</w:t>
      </w:r>
      <w:r w:rsidRPr="00BB3D52">
        <w:rPr>
          <w:rFonts w:cs="Times New Roman"/>
          <w:sz w:val="24"/>
          <w:szCs w:val="24"/>
        </w:rPr>
        <w:t xml:space="preserve">) </w:t>
      </w:r>
    </w:p>
    <w:p w14:paraId="5E88B715" w14:textId="77777777" w:rsidR="009359FA" w:rsidRPr="00BB3D52" w:rsidRDefault="00365B1B" w:rsidP="00E0795E">
      <w:pPr>
        <w:pStyle w:val="Heading1"/>
        <w:spacing w:line="360" w:lineRule="auto"/>
        <w:rPr>
          <w:rStyle w:val="Heading1Char"/>
          <w:rFonts w:cs="Times New Roman"/>
          <w:b/>
          <w:sz w:val="24"/>
          <w:szCs w:val="24"/>
        </w:rPr>
      </w:pPr>
      <w:bookmarkStart w:id="99" w:name="_Toc102558931"/>
      <w:r w:rsidRPr="00BB3D52">
        <w:rPr>
          <w:rStyle w:val="Heading1Char"/>
          <w:rFonts w:cs="Times New Roman"/>
          <w:b/>
          <w:sz w:val="24"/>
          <w:szCs w:val="24"/>
        </w:rPr>
        <w:t>6. Central</w:t>
      </w:r>
      <w:r w:rsidR="00DD5AA0" w:rsidRPr="00BB3D52">
        <w:rPr>
          <w:rStyle w:val="Heading1Char"/>
          <w:rFonts w:cs="Times New Roman"/>
          <w:b/>
          <w:sz w:val="24"/>
          <w:szCs w:val="24"/>
        </w:rPr>
        <w:t xml:space="preserve"> Government </w:t>
      </w:r>
      <w:r w:rsidR="0019671B" w:rsidRPr="00BB3D52">
        <w:rPr>
          <w:rStyle w:val="Heading1Char"/>
          <w:rFonts w:cs="Times New Roman"/>
          <w:b/>
          <w:sz w:val="24"/>
          <w:szCs w:val="24"/>
        </w:rPr>
        <w:t>Debt</w:t>
      </w:r>
      <w:bookmarkStart w:id="100" w:name="_Toc947397"/>
      <w:bookmarkEnd w:id="54"/>
      <w:bookmarkEnd w:id="55"/>
      <w:r w:rsidR="00664397" w:rsidRPr="00BB3D52">
        <w:rPr>
          <w:rStyle w:val="Heading1Char"/>
          <w:rFonts w:cs="Times New Roman"/>
          <w:b/>
          <w:sz w:val="24"/>
          <w:szCs w:val="24"/>
        </w:rPr>
        <w:t xml:space="preserve"> Service and Disbursements</w:t>
      </w:r>
      <w:bookmarkEnd w:id="99"/>
    </w:p>
    <w:p w14:paraId="3DE492E5" w14:textId="77777777" w:rsidR="00BC53E9" w:rsidRPr="00BB3D52" w:rsidRDefault="00365B1B" w:rsidP="00E0795E">
      <w:pPr>
        <w:pStyle w:val="Heading2"/>
        <w:spacing w:line="360" w:lineRule="auto"/>
        <w:rPr>
          <w:rFonts w:cs="Times New Roman"/>
          <w:sz w:val="24"/>
          <w:szCs w:val="24"/>
        </w:rPr>
      </w:pPr>
      <w:bookmarkStart w:id="101" w:name="_Toc102558932"/>
      <w:r>
        <w:rPr>
          <w:rFonts w:cs="Times New Roman"/>
          <w:sz w:val="24"/>
          <w:szCs w:val="24"/>
        </w:rPr>
        <w:t>6</w:t>
      </w:r>
      <w:r w:rsidR="00664397" w:rsidRPr="00BB3D52">
        <w:rPr>
          <w:rFonts w:cs="Times New Roman"/>
          <w:sz w:val="24"/>
          <w:szCs w:val="24"/>
        </w:rPr>
        <w:t>.1</w:t>
      </w:r>
      <w:r w:rsidR="001F0670" w:rsidRPr="00BB3D52">
        <w:rPr>
          <w:rFonts w:cs="Times New Roman"/>
          <w:sz w:val="24"/>
          <w:szCs w:val="24"/>
        </w:rPr>
        <w:t xml:space="preserve"> </w:t>
      </w:r>
      <w:r w:rsidR="000D2EAB" w:rsidRPr="00BB3D52">
        <w:rPr>
          <w:rFonts w:cs="Times New Roman"/>
          <w:sz w:val="24"/>
          <w:szCs w:val="24"/>
        </w:rPr>
        <w:t xml:space="preserve">Central Government </w:t>
      </w:r>
      <w:r w:rsidR="001F0670" w:rsidRPr="00BB3D52">
        <w:rPr>
          <w:rFonts w:cs="Times New Roman"/>
          <w:sz w:val="24"/>
          <w:szCs w:val="24"/>
        </w:rPr>
        <w:t>Total Debt Service</w:t>
      </w:r>
      <w:r>
        <w:rPr>
          <w:rStyle w:val="FootnoteReference"/>
          <w:rFonts w:cs="Times New Roman"/>
          <w:sz w:val="24"/>
          <w:szCs w:val="24"/>
        </w:rPr>
        <w:footnoteReference w:id="2"/>
      </w:r>
      <w:bookmarkEnd w:id="101"/>
      <w:r w:rsidR="001F0670" w:rsidRPr="00BB3D52">
        <w:rPr>
          <w:rFonts w:cs="Times New Roman"/>
          <w:sz w:val="24"/>
          <w:szCs w:val="24"/>
        </w:rPr>
        <w:t xml:space="preserve"> </w:t>
      </w:r>
    </w:p>
    <w:p w14:paraId="04E4351C" w14:textId="074173A4" w:rsidR="004B5BCA" w:rsidRPr="00BB3D52" w:rsidRDefault="00365B1B" w:rsidP="00E0795E">
      <w:pPr>
        <w:spacing w:line="360" w:lineRule="auto"/>
        <w:jc w:val="both"/>
        <w:rPr>
          <w:rFonts w:cs="Times New Roman"/>
          <w:sz w:val="24"/>
          <w:szCs w:val="24"/>
        </w:rPr>
      </w:pPr>
      <w:r>
        <w:rPr>
          <w:noProof/>
          <w:lang w:val="en-US"/>
        </w:rPr>
        <w:drawing>
          <wp:anchor distT="0" distB="0" distL="114300" distR="114300" simplePos="0" relativeHeight="251749376" behindDoc="0" locked="0" layoutInCell="1" allowOverlap="1" wp14:anchorId="6B3A0990" wp14:editId="2C8DDB04">
            <wp:simplePos x="0" y="0"/>
            <wp:positionH relativeFrom="margin">
              <wp:align>right</wp:align>
            </wp:positionH>
            <wp:positionV relativeFrom="paragraph">
              <wp:posOffset>10795</wp:posOffset>
            </wp:positionV>
            <wp:extent cx="3291840" cy="2152650"/>
            <wp:effectExtent l="0" t="0" r="3810" b="0"/>
            <wp:wrapSquare wrapText="bothSides"/>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Pr>
          <w:noProof/>
          <w:lang w:val="en-US"/>
        </w:rPr>
        <mc:AlternateContent>
          <mc:Choice Requires="wps">
            <w:drawing>
              <wp:anchor distT="0" distB="0" distL="114300" distR="114300" simplePos="0" relativeHeight="251726848" behindDoc="0" locked="0" layoutInCell="1" allowOverlap="1" wp14:anchorId="5917EC1D" wp14:editId="05C9EF34">
                <wp:simplePos x="0" y="0"/>
                <wp:positionH relativeFrom="margin">
                  <wp:posOffset>2933700</wp:posOffset>
                </wp:positionH>
                <wp:positionV relativeFrom="paragraph">
                  <wp:posOffset>96520</wp:posOffset>
                </wp:positionV>
                <wp:extent cx="2943225" cy="152400"/>
                <wp:effectExtent l="0" t="0" r="9525" b="0"/>
                <wp:wrapSquare wrapText="bothSides"/>
                <wp:docPr id="47" name="Text Box 47"/>
                <wp:cNvGraphicFramePr/>
                <a:graphic xmlns:a="http://schemas.openxmlformats.org/drawingml/2006/main">
                  <a:graphicData uri="http://schemas.microsoft.com/office/word/2010/wordprocessingShape">
                    <wps:wsp>
                      <wps:cNvSpPr txBox="1"/>
                      <wps:spPr>
                        <a:xfrm>
                          <a:off x="0" y="0"/>
                          <a:ext cx="2943225" cy="152400"/>
                        </a:xfrm>
                        <a:prstGeom prst="rect">
                          <a:avLst/>
                        </a:prstGeom>
                        <a:solidFill>
                          <a:prstClr val="white"/>
                        </a:solidFill>
                        <a:ln>
                          <a:noFill/>
                        </a:ln>
                        <a:effectLst/>
                      </wps:spPr>
                      <wps:txbx>
                        <w:txbxContent>
                          <w:p w14:paraId="0DB58187" w14:textId="77777777" w:rsidR="005C750A" w:rsidRPr="00FF445F" w:rsidRDefault="005C750A" w:rsidP="007976F6">
                            <w:pPr>
                              <w:rPr>
                                <w:noProof/>
                              </w:rPr>
                            </w:pPr>
                            <w:bookmarkStart w:id="102" w:name="_Toc102559788"/>
                            <w:bookmarkStart w:id="103" w:name="_Toc102560686"/>
                            <w:r w:rsidRPr="00FF445F">
                              <w:t xml:space="preserve">Figure </w:t>
                            </w:r>
                            <w:r w:rsidR="002E1637">
                              <w:fldChar w:fldCharType="begin"/>
                            </w:r>
                            <w:r w:rsidR="002E1637">
                              <w:instrText xml:space="preserve"> SEQ Figure \* ARABIC </w:instrText>
                            </w:r>
                            <w:r w:rsidR="002E1637">
                              <w:fldChar w:fldCharType="separate"/>
                            </w:r>
                            <w:r>
                              <w:rPr>
                                <w:noProof/>
                              </w:rPr>
                              <w:t>18</w:t>
                            </w:r>
                            <w:r w:rsidR="002E1637">
                              <w:rPr>
                                <w:noProof/>
                              </w:rPr>
                              <w:fldChar w:fldCharType="end"/>
                            </w:r>
                            <w:r w:rsidRPr="00FF445F">
                              <w:t>: Central Government Total Debt Service 2017-2021</w:t>
                            </w:r>
                            <w:bookmarkEnd w:id="102"/>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917EC1D" id="Text Box 47" o:spid="_x0000_s1048" type="#_x0000_t202" style="position:absolute;left:0;text-align:left;margin-left:231pt;margin-top:7.6pt;width:231.75pt;height:12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" stroked="f">
                <v:textbox inset="0,0,0,0">
                  <w:txbxContent>
                    <w:p w14:paraId="0DB58187" w14:textId="77777777" w:rsidR="005C750A" w:rsidRPr="00FF445F" w:rsidRDefault="005C750A" w:rsidP="007976F6">
                      <w:pPr>
                        <w:rPr>
                          <w:noProof/>
                        </w:rPr>
                      </w:pPr>
                      <w:bookmarkStart w:id="138" w:name="_Toc102559788"/>
                      <w:bookmarkStart w:id="139" w:name="_Toc102560686"/>
                      <w:r w:rsidRPr="00FF445F">
                        <w:t xml:space="preserve">Figure </w:t>
                      </w:r>
                      <w:fldSimple w:instr=" SEQ Figure \* ARABIC ">
                        <w:r>
                          <w:rPr>
                            <w:noProof/>
                          </w:rPr>
                          <w:t>18</w:t>
                        </w:r>
                      </w:fldSimple>
                      <w:r w:rsidRPr="00FF445F">
                        <w:t>: Central Government Total Debt Service 2017-2021</w:t>
                      </w:r>
                      <w:bookmarkEnd w:id="138"/>
                      <w:bookmarkEnd w:id="139"/>
                    </w:p>
                  </w:txbxContent>
                </v:textbox>
                <w10:wrap type="square" anchorx="margin"/>
              </v:shape>
            </w:pict>
          </mc:Fallback>
        </mc:AlternateContent>
      </w:r>
      <w:r w:rsidR="00DA686C" w:rsidRPr="00BB3D52">
        <w:rPr>
          <w:rFonts w:cs="Times New Roman"/>
          <w:sz w:val="24"/>
          <w:szCs w:val="24"/>
        </w:rPr>
        <w:t>At the end of 2021</w:t>
      </w:r>
      <w:r w:rsidR="001F0670" w:rsidRPr="00BB3D52">
        <w:rPr>
          <w:rFonts w:cs="Times New Roman"/>
          <w:sz w:val="24"/>
          <w:szCs w:val="24"/>
        </w:rPr>
        <w:t>,</w:t>
      </w:r>
      <w:r w:rsidR="006340ED">
        <w:rPr>
          <w:rFonts w:cs="Times New Roman"/>
          <w:sz w:val="24"/>
          <w:szCs w:val="24"/>
        </w:rPr>
        <w:t xml:space="preserve"> </w:t>
      </w:r>
      <w:r w:rsidR="00E72BE0">
        <w:rPr>
          <w:rFonts w:cs="Times New Roman"/>
          <w:sz w:val="24"/>
          <w:szCs w:val="24"/>
        </w:rPr>
        <w:t xml:space="preserve">central government </w:t>
      </w:r>
      <w:r w:rsidR="006340ED">
        <w:rPr>
          <w:rFonts w:cs="Times New Roman"/>
          <w:sz w:val="24"/>
          <w:szCs w:val="24"/>
        </w:rPr>
        <w:t>debt service totalled $1,209.7</w:t>
      </w:r>
      <w:r w:rsidR="00DA686C" w:rsidRPr="00BB3D52">
        <w:rPr>
          <w:rFonts w:cs="Times New Roman"/>
          <w:sz w:val="24"/>
          <w:szCs w:val="24"/>
        </w:rPr>
        <w:t xml:space="preserve">M, </w:t>
      </w:r>
      <w:r w:rsidR="006340ED">
        <w:rPr>
          <w:rFonts w:cs="Times New Roman"/>
          <w:sz w:val="24"/>
          <w:szCs w:val="24"/>
        </w:rPr>
        <w:t>decreasing 0.2% or $2.8</w:t>
      </w:r>
      <w:r w:rsidR="004857BB" w:rsidRPr="00BB3D52">
        <w:rPr>
          <w:rFonts w:cs="Times New Roman"/>
          <w:sz w:val="24"/>
          <w:szCs w:val="24"/>
        </w:rPr>
        <w:t>M over</w:t>
      </w:r>
      <w:r w:rsidR="00DA686C" w:rsidRPr="00BB3D52">
        <w:rPr>
          <w:rFonts w:cs="Times New Roman"/>
          <w:sz w:val="24"/>
          <w:szCs w:val="24"/>
        </w:rPr>
        <w:t xml:space="preserve"> 2020</w:t>
      </w:r>
      <w:r w:rsidR="001F0670" w:rsidRPr="00B81260">
        <w:rPr>
          <w:rFonts w:cs="Times New Roman"/>
          <w:sz w:val="24"/>
          <w:szCs w:val="24"/>
        </w:rPr>
        <w:t>.</w:t>
      </w:r>
      <w:r w:rsidR="006340ED" w:rsidRPr="00B81260">
        <w:rPr>
          <w:rFonts w:cs="Times New Roman"/>
          <w:sz w:val="24"/>
          <w:szCs w:val="24"/>
        </w:rPr>
        <w:t xml:space="preserve"> </w:t>
      </w:r>
      <w:r w:rsidRPr="00B81260">
        <w:rPr>
          <w:rFonts w:cs="Times New Roman"/>
          <w:sz w:val="24"/>
          <w:szCs w:val="24"/>
        </w:rPr>
        <w:t xml:space="preserve">Total debt service increased by an average of </w:t>
      </w:r>
      <w:r w:rsidR="00AA5F0E">
        <w:rPr>
          <w:rFonts w:cs="Times New Roman"/>
          <w:sz w:val="24"/>
          <w:szCs w:val="24"/>
        </w:rPr>
        <w:t xml:space="preserve">only </w:t>
      </w:r>
      <w:r w:rsidRPr="00B81260">
        <w:rPr>
          <w:rFonts w:cs="Times New Roman"/>
          <w:sz w:val="24"/>
          <w:szCs w:val="24"/>
        </w:rPr>
        <w:t xml:space="preserve">1.0% between 2017 and 2021. </w:t>
      </w:r>
      <w:r w:rsidR="001F0670" w:rsidRPr="00B81260">
        <w:rPr>
          <w:rFonts w:cs="Times New Roman"/>
          <w:sz w:val="24"/>
          <w:szCs w:val="24"/>
        </w:rPr>
        <w:t>E</w:t>
      </w:r>
      <w:r w:rsidR="001F0670" w:rsidRPr="00BB3D52">
        <w:rPr>
          <w:rFonts w:cs="Times New Roman"/>
          <w:sz w:val="24"/>
          <w:szCs w:val="24"/>
        </w:rPr>
        <w:t>xternal debt ser</w:t>
      </w:r>
      <w:r w:rsidR="006340ED">
        <w:rPr>
          <w:rFonts w:cs="Times New Roman"/>
          <w:sz w:val="24"/>
          <w:szCs w:val="24"/>
        </w:rPr>
        <w:t>vice increased by $60.0M or 9.6</w:t>
      </w:r>
      <w:r w:rsidR="00436B73" w:rsidRPr="00BB3D52">
        <w:rPr>
          <w:rFonts w:cs="Times New Roman"/>
          <w:sz w:val="24"/>
          <w:szCs w:val="24"/>
        </w:rPr>
        <w:t>%</w:t>
      </w:r>
      <w:r w:rsidR="004857BB" w:rsidRPr="00BB3D52">
        <w:rPr>
          <w:rFonts w:cs="Times New Roman"/>
          <w:sz w:val="24"/>
          <w:szCs w:val="24"/>
        </w:rPr>
        <w:t>. D</w:t>
      </w:r>
      <w:r w:rsidR="001F0670" w:rsidRPr="00BB3D52">
        <w:rPr>
          <w:rFonts w:cs="Times New Roman"/>
          <w:sz w:val="24"/>
          <w:szCs w:val="24"/>
        </w:rPr>
        <w:t>omestic debt servi</w:t>
      </w:r>
      <w:r w:rsidR="00436B73" w:rsidRPr="00BB3D52">
        <w:rPr>
          <w:rFonts w:cs="Times New Roman"/>
          <w:sz w:val="24"/>
          <w:szCs w:val="24"/>
        </w:rPr>
        <w:t xml:space="preserve">ce, </w:t>
      </w:r>
      <w:r w:rsidR="004857BB" w:rsidRPr="00BB3D52">
        <w:rPr>
          <w:rFonts w:cs="Times New Roman"/>
          <w:sz w:val="24"/>
          <w:szCs w:val="24"/>
        </w:rPr>
        <w:t xml:space="preserve">however, </w:t>
      </w:r>
      <w:r w:rsidR="006340ED">
        <w:rPr>
          <w:rFonts w:cs="Times New Roman"/>
          <w:sz w:val="24"/>
          <w:szCs w:val="24"/>
        </w:rPr>
        <w:t>declined by $62.8M or 10.7</w:t>
      </w:r>
      <w:r w:rsidR="002D2FA5" w:rsidRPr="00BB3D52">
        <w:rPr>
          <w:rFonts w:cs="Times New Roman"/>
          <w:sz w:val="24"/>
          <w:szCs w:val="24"/>
        </w:rPr>
        <w:t>% over 2020</w:t>
      </w:r>
      <w:r w:rsidR="00436B73" w:rsidRPr="00BB3D52">
        <w:rPr>
          <w:rFonts w:cs="Times New Roman"/>
          <w:sz w:val="24"/>
          <w:szCs w:val="24"/>
        </w:rPr>
        <w:t>.</w:t>
      </w:r>
      <w:r w:rsidR="001F0670" w:rsidRPr="00BB3D52">
        <w:rPr>
          <w:rFonts w:cs="Times New Roman"/>
          <w:sz w:val="24"/>
          <w:szCs w:val="24"/>
        </w:rPr>
        <w:t xml:space="preserve"> External debt se</w:t>
      </w:r>
      <w:r w:rsidR="006340ED">
        <w:rPr>
          <w:rFonts w:cs="Times New Roman"/>
          <w:sz w:val="24"/>
          <w:szCs w:val="24"/>
        </w:rPr>
        <w:t>rvice averaged 54.1</w:t>
      </w:r>
      <w:r w:rsidR="002C7180" w:rsidRPr="00BB3D52">
        <w:rPr>
          <w:rFonts w:cs="Times New Roman"/>
          <w:sz w:val="24"/>
          <w:szCs w:val="24"/>
        </w:rPr>
        <w:t xml:space="preserve">% </w:t>
      </w:r>
      <w:r w:rsidR="004857BB" w:rsidRPr="00BB3D52">
        <w:rPr>
          <w:rFonts w:cs="Times New Roman"/>
          <w:sz w:val="24"/>
          <w:szCs w:val="24"/>
        </w:rPr>
        <w:t xml:space="preserve">of total debt service </w:t>
      </w:r>
      <w:r w:rsidR="002C7180" w:rsidRPr="00BB3D52">
        <w:rPr>
          <w:rFonts w:cs="Times New Roman"/>
          <w:sz w:val="24"/>
          <w:szCs w:val="24"/>
        </w:rPr>
        <w:t>from</w:t>
      </w:r>
      <w:r w:rsidR="00861F76" w:rsidRPr="00BB3D52">
        <w:rPr>
          <w:rFonts w:cs="Times New Roman"/>
          <w:sz w:val="24"/>
          <w:szCs w:val="24"/>
        </w:rPr>
        <w:t xml:space="preserve"> 2017 to 2021</w:t>
      </w:r>
      <w:r w:rsidR="006340ED">
        <w:rPr>
          <w:rFonts w:cs="Times New Roman"/>
          <w:sz w:val="24"/>
          <w:szCs w:val="24"/>
        </w:rPr>
        <w:t xml:space="preserve">, peaking in 2021 </w:t>
      </w:r>
      <w:r w:rsidR="001F0670" w:rsidRPr="00BB3D52">
        <w:rPr>
          <w:rFonts w:cs="Times New Roman"/>
          <w:sz w:val="24"/>
          <w:szCs w:val="24"/>
        </w:rPr>
        <w:t xml:space="preserve">at </w:t>
      </w:r>
      <w:r w:rsidR="006340ED">
        <w:rPr>
          <w:rFonts w:cs="Times New Roman"/>
          <w:sz w:val="24"/>
          <w:szCs w:val="24"/>
        </w:rPr>
        <w:t>56.8</w:t>
      </w:r>
      <w:r w:rsidR="004857BB" w:rsidRPr="00BB3D52">
        <w:rPr>
          <w:rFonts w:cs="Times New Roman"/>
          <w:sz w:val="24"/>
          <w:szCs w:val="24"/>
        </w:rPr>
        <w:t>%</w:t>
      </w:r>
      <w:r w:rsidR="003857B8" w:rsidRPr="00BB3D52">
        <w:rPr>
          <w:rFonts w:cs="Times New Roman"/>
          <w:sz w:val="24"/>
          <w:szCs w:val="24"/>
        </w:rPr>
        <w:t xml:space="preserve">. </w:t>
      </w:r>
      <w:r w:rsidR="001F0670" w:rsidRPr="00BB3D52">
        <w:rPr>
          <w:rFonts w:cs="Times New Roman"/>
          <w:sz w:val="24"/>
          <w:szCs w:val="24"/>
        </w:rPr>
        <w:t>Dom</w:t>
      </w:r>
      <w:r w:rsidR="006340ED">
        <w:rPr>
          <w:rFonts w:cs="Times New Roman"/>
          <w:sz w:val="24"/>
          <w:szCs w:val="24"/>
        </w:rPr>
        <w:t>estic debt service averaged 45.9</w:t>
      </w:r>
      <w:r w:rsidR="001F0670" w:rsidRPr="00BB3D52">
        <w:rPr>
          <w:rFonts w:cs="Times New Roman"/>
          <w:sz w:val="24"/>
          <w:szCs w:val="24"/>
        </w:rPr>
        <w:t>% over</w:t>
      </w:r>
      <w:r w:rsidR="003857B8" w:rsidRPr="00BB3D52">
        <w:rPr>
          <w:rFonts w:cs="Times New Roman"/>
          <w:sz w:val="24"/>
          <w:szCs w:val="24"/>
        </w:rPr>
        <w:t xml:space="preserve"> the same </w:t>
      </w:r>
      <w:r w:rsidR="00861F76" w:rsidRPr="00BB3D52">
        <w:rPr>
          <w:rFonts w:cs="Times New Roman"/>
          <w:sz w:val="24"/>
          <w:szCs w:val="24"/>
        </w:rPr>
        <w:t>period peaking in 2</w:t>
      </w:r>
      <w:r w:rsidR="006340ED">
        <w:rPr>
          <w:rFonts w:cs="Times New Roman"/>
          <w:sz w:val="24"/>
          <w:szCs w:val="24"/>
        </w:rPr>
        <w:t>018 with 49.2</w:t>
      </w:r>
      <w:r w:rsidR="003857B8" w:rsidRPr="00BB3D52">
        <w:rPr>
          <w:rFonts w:cs="Times New Roman"/>
          <w:sz w:val="24"/>
          <w:szCs w:val="24"/>
        </w:rPr>
        <w:t xml:space="preserve">%. </w:t>
      </w:r>
      <w:r w:rsidR="001F0670" w:rsidRPr="00BB3D52">
        <w:rPr>
          <w:rFonts w:cs="Times New Roman"/>
          <w:sz w:val="24"/>
          <w:szCs w:val="24"/>
        </w:rPr>
        <w:t>(</w:t>
      </w:r>
      <w:r w:rsidR="00392EA2">
        <w:rPr>
          <w:rFonts w:cs="Times New Roman"/>
          <w:sz w:val="24"/>
          <w:szCs w:val="24"/>
        </w:rPr>
        <w:t>Figure</w:t>
      </w:r>
      <w:r w:rsidR="001F0670" w:rsidRPr="00BB3D52">
        <w:rPr>
          <w:rFonts w:cs="Times New Roman"/>
          <w:sz w:val="24"/>
          <w:szCs w:val="24"/>
        </w:rPr>
        <w:t xml:space="preserve"> </w:t>
      </w:r>
      <w:r w:rsidR="004B5BCA">
        <w:rPr>
          <w:rFonts w:cs="Times New Roman"/>
          <w:sz w:val="24"/>
          <w:szCs w:val="24"/>
        </w:rPr>
        <w:t>18</w:t>
      </w:r>
      <w:r w:rsidR="001F0670" w:rsidRPr="00BB3D52">
        <w:rPr>
          <w:rFonts w:cs="Times New Roman"/>
          <w:sz w:val="24"/>
          <w:szCs w:val="24"/>
        </w:rPr>
        <w:t>)</w:t>
      </w:r>
      <w:r w:rsidR="00A44776" w:rsidRPr="00A44776">
        <w:rPr>
          <w:noProof/>
          <w:lang w:eastAsia="en-029"/>
        </w:rPr>
        <w:t xml:space="preserve"> </w:t>
      </w:r>
      <w:r w:rsidR="004B5BCA" w:rsidRPr="004B5BCA">
        <w:rPr>
          <w:noProof/>
          <w:lang w:eastAsia="en-029"/>
        </w:rPr>
        <w:t xml:space="preserve"> </w:t>
      </w:r>
    </w:p>
    <w:p w14:paraId="41D62573" w14:textId="77777777" w:rsidR="004C75CA" w:rsidRPr="00BB3D52" w:rsidRDefault="00365B1B" w:rsidP="00E0795E">
      <w:pPr>
        <w:pStyle w:val="Heading2"/>
        <w:spacing w:line="360" w:lineRule="auto"/>
        <w:rPr>
          <w:rFonts w:cs="Times New Roman"/>
          <w:sz w:val="24"/>
          <w:szCs w:val="24"/>
        </w:rPr>
      </w:pPr>
      <w:bookmarkStart w:id="104" w:name="_Toc102558933"/>
      <w:r>
        <w:rPr>
          <w:rFonts w:cs="Times New Roman"/>
          <w:sz w:val="24"/>
          <w:szCs w:val="24"/>
        </w:rPr>
        <w:t>6</w:t>
      </w:r>
      <w:r w:rsidR="001F0670" w:rsidRPr="00BB3D52">
        <w:rPr>
          <w:rFonts w:cs="Times New Roman"/>
          <w:sz w:val="24"/>
          <w:szCs w:val="24"/>
        </w:rPr>
        <w:t xml:space="preserve">.2 Central Government Principal and Interest </w:t>
      </w:r>
      <w:r w:rsidR="00B246D4">
        <w:rPr>
          <w:rFonts w:cs="Times New Roman"/>
          <w:sz w:val="24"/>
          <w:szCs w:val="24"/>
        </w:rPr>
        <w:t>Payments</w:t>
      </w:r>
      <w:bookmarkEnd w:id="104"/>
    </w:p>
    <w:p w14:paraId="4F67820C" w14:textId="3834AC53" w:rsidR="00097A74" w:rsidRPr="00BB3D52" w:rsidRDefault="00365B1B" w:rsidP="00E0795E">
      <w:pPr>
        <w:spacing w:line="360" w:lineRule="auto"/>
        <w:jc w:val="both"/>
        <w:rPr>
          <w:rFonts w:cs="Times New Roman"/>
          <w:sz w:val="24"/>
          <w:szCs w:val="24"/>
        </w:rPr>
      </w:pPr>
      <w:r>
        <w:rPr>
          <w:noProof/>
          <w:lang w:val="en-US"/>
        </w:rPr>
        <mc:AlternateContent>
          <mc:Choice Requires="wps">
            <w:drawing>
              <wp:anchor distT="0" distB="0" distL="114300" distR="114300" simplePos="0" relativeHeight="251728896" behindDoc="0" locked="0" layoutInCell="1" allowOverlap="1" wp14:anchorId="2EEA4920" wp14:editId="6D04230B">
                <wp:simplePos x="0" y="0"/>
                <wp:positionH relativeFrom="margin">
                  <wp:posOffset>2875280</wp:posOffset>
                </wp:positionH>
                <wp:positionV relativeFrom="paragraph">
                  <wp:posOffset>21590</wp:posOffset>
                </wp:positionV>
                <wp:extent cx="3114040" cy="118745"/>
                <wp:effectExtent l="0" t="0" r="0" b="0"/>
                <wp:wrapSquare wrapText="bothSides"/>
                <wp:docPr id="48" name="Text Box 48"/>
                <wp:cNvGraphicFramePr/>
                <a:graphic xmlns:a="http://schemas.openxmlformats.org/drawingml/2006/main">
                  <a:graphicData uri="http://schemas.microsoft.com/office/word/2010/wordprocessingShape">
                    <wps:wsp>
                      <wps:cNvSpPr txBox="1"/>
                      <wps:spPr>
                        <a:xfrm>
                          <a:off x="0" y="0"/>
                          <a:ext cx="3114040" cy="118745"/>
                        </a:xfrm>
                        <a:prstGeom prst="rect">
                          <a:avLst/>
                        </a:prstGeom>
                        <a:solidFill>
                          <a:prstClr val="white"/>
                        </a:solidFill>
                        <a:ln>
                          <a:noFill/>
                        </a:ln>
                        <a:effectLst/>
                      </wps:spPr>
                      <wps:txbx>
                        <w:txbxContent>
                          <w:p w14:paraId="5C1C1FA2" w14:textId="77777777" w:rsidR="005C750A" w:rsidRPr="00FF445F" w:rsidRDefault="005C750A" w:rsidP="007976F6">
                            <w:pPr>
                              <w:rPr>
                                <w:noProof/>
                              </w:rPr>
                            </w:pPr>
                            <w:bookmarkStart w:id="105" w:name="_Toc102559789"/>
                            <w:bookmarkStart w:id="106" w:name="_Toc102560687"/>
                            <w:r w:rsidRPr="00FF445F">
                              <w:t xml:space="preserve">Figure </w:t>
                            </w:r>
                            <w:r w:rsidR="002E1637">
                              <w:fldChar w:fldCharType="begin"/>
                            </w:r>
                            <w:r w:rsidR="002E1637">
                              <w:instrText xml:space="preserve"> SEQ Figure \* ARABIC </w:instrText>
                            </w:r>
                            <w:r w:rsidR="002E1637">
                              <w:fldChar w:fldCharType="separate"/>
                            </w:r>
                            <w:r>
                              <w:rPr>
                                <w:noProof/>
                              </w:rPr>
                              <w:t>19</w:t>
                            </w:r>
                            <w:r w:rsidR="002E1637">
                              <w:rPr>
                                <w:noProof/>
                              </w:rPr>
                              <w:fldChar w:fldCharType="end"/>
                            </w:r>
                            <w:r w:rsidRPr="00FF445F">
                              <w:t>:  Central Government Principal and Interest Payments 2017-2021</w:t>
                            </w:r>
                            <w:bookmarkEnd w:id="105"/>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EEA4920" id="Text Box 48" o:spid="_x0000_s1049" type="#_x0000_t202" style="position:absolute;left:0;text-align:left;margin-left:226.4pt;margin-top:1.7pt;width:245.2pt;height:9.35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" stroked="f">
                <v:textbox inset="0,0,0,0">
                  <w:txbxContent>
                    <w:p w14:paraId="5C1C1FA2" w14:textId="77777777" w:rsidR="005C750A" w:rsidRPr="00FF445F" w:rsidRDefault="005C750A" w:rsidP="007976F6">
                      <w:pPr>
                        <w:rPr>
                          <w:noProof/>
                        </w:rPr>
                      </w:pPr>
                      <w:bookmarkStart w:id="143" w:name="_Toc102559789"/>
                      <w:bookmarkStart w:id="144" w:name="_Toc102560687"/>
                      <w:r w:rsidRPr="00FF445F">
                        <w:t xml:space="preserve">Figure </w:t>
                      </w:r>
                      <w:fldSimple w:instr=" SEQ Figure \* ARABIC ">
                        <w:r>
                          <w:rPr>
                            <w:noProof/>
                          </w:rPr>
                          <w:t>19</w:t>
                        </w:r>
                      </w:fldSimple>
                      <w:r w:rsidRPr="00FF445F">
                        <w:t>:  Central Government Principal and Interest Payments 2017-2021</w:t>
                      </w:r>
                      <w:bookmarkEnd w:id="143"/>
                      <w:bookmarkEnd w:id="144"/>
                    </w:p>
                  </w:txbxContent>
                </v:textbox>
                <w10:wrap type="square" anchorx="margin"/>
              </v:shape>
            </w:pict>
          </mc:Fallback>
        </mc:AlternateContent>
      </w:r>
      <w:r w:rsidR="00195F37">
        <w:rPr>
          <w:noProof/>
          <w:lang w:val="en-US"/>
        </w:rPr>
        <w:drawing>
          <wp:anchor distT="0" distB="0" distL="114300" distR="114300" simplePos="0" relativeHeight="251683840" behindDoc="0" locked="0" layoutInCell="1" allowOverlap="1" wp14:anchorId="52C155B4" wp14:editId="5E01CC35">
            <wp:simplePos x="0" y="0"/>
            <wp:positionH relativeFrom="margin">
              <wp:align>right</wp:align>
            </wp:positionH>
            <wp:positionV relativeFrom="paragraph">
              <wp:posOffset>8255</wp:posOffset>
            </wp:positionV>
            <wp:extent cx="3291840" cy="1920240"/>
            <wp:effectExtent l="0" t="0" r="0" b="3810"/>
            <wp:wrapSquare wrapText="bothSides"/>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r w:rsidR="00E72BE0">
        <w:rPr>
          <w:rFonts w:cs="Times New Roman"/>
          <w:sz w:val="24"/>
          <w:szCs w:val="24"/>
        </w:rPr>
        <w:t>Central Government p</w:t>
      </w:r>
      <w:r w:rsidR="00C40ECD" w:rsidRPr="00BB3D52">
        <w:rPr>
          <w:rFonts w:cs="Times New Roman"/>
          <w:sz w:val="24"/>
          <w:szCs w:val="24"/>
        </w:rPr>
        <w:t>rincip</w:t>
      </w:r>
      <w:r w:rsidR="0050691E" w:rsidRPr="00BB3D52">
        <w:rPr>
          <w:rFonts w:cs="Times New Roman"/>
          <w:sz w:val="24"/>
          <w:szCs w:val="24"/>
        </w:rPr>
        <w:t xml:space="preserve">al </w:t>
      </w:r>
      <w:r w:rsidR="00BA3CFD">
        <w:rPr>
          <w:rFonts w:cs="Times New Roman"/>
          <w:sz w:val="24"/>
          <w:szCs w:val="24"/>
        </w:rPr>
        <w:t>repayments total</w:t>
      </w:r>
      <w:r w:rsidR="00E72BE0">
        <w:rPr>
          <w:rFonts w:cs="Times New Roman"/>
          <w:sz w:val="24"/>
          <w:szCs w:val="24"/>
        </w:rPr>
        <w:t>l</w:t>
      </w:r>
      <w:r w:rsidR="00BA3CFD">
        <w:rPr>
          <w:rFonts w:cs="Times New Roman"/>
          <w:sz w:val="24"/>
          <w:szCs w:val="24"/>
        </w:rPr>
        <w:t>ed $1,046.9M for 2021, a decrease of 1.6</w:t>
      </w:r>
      <w:r w:rsidR="00A83F67" w:rsidRPr="00BB3D52">
        <w:rPr>
          <w:rFonts w:cs="Times New Roman"/>
          <w:sz w:val="24"/>
          <w:szCs w:val="24"/>
        </w:rPr>
        <w:t>% over 2020</w:t>
      </w:r>
      <w:r w:rsidR="00C40ECD" w:rsidRPr="00BB3D52">
        <w:rPr>
          <w:rFonts w:cs="Times New Roman"/>
          <w:sz w:val="24"/>
          <w:szCs w:val="24"/>
        </w:rPr>
        <w:t>.</w:t>
      </w:r>
      <w:r w:rsidR="00C40ECD" w:rsidRPr="00BB3D52">
        <w:rPr>
          <w:rFonts w:cs="Times New Roman"/>
          <w:color w:val="FF0000"/>
          <w:sz w:val="24"/>
          <w:szCs w:val="24"/>
        </w:rPr>
        <w:t xml:space="preserve"> </w:t>
      </w:r>
      <w:r w:rsidR="00C40ECD" w:rsidRPr="00BB3D52">
        <w:rPr>
          <w:rFonts w:cs="Times New Roman"/>
          <w:sz w:val="24"/>
          <w:szCs w:val="24"/>
        </w:rPr>
        <w:t>Pr</w:t>
      </w:r>
      <w:r w:rsidR="00BA3CFD">
        <w:rPr>
          <w:rFonts w:cs="Times New Roman"/>
          <w:sz w:val="24"/>
          <w:szCs w:val="24"/>
        </w:rPr>
        <w:t>incipal repayments averaged 88.0</w:t>
      </w:r>
      <w:r w:rsidR="00C40ECD" w:rsidRPr="00BB3D52">
        <w:rPr>
          <w:rFonts w:cs="Times New Roman"/>
          <w:sz w:val="24"/>
          <w:szCs w:val="24"/>
        </w:rPr>
        <w:t>% of the total debt service</w:t>
      </w:r>
      <w:r w:rsidR="006A74E3" w:rsidRPr="00BB3D52">
        <w:rPr>
          <w:rFonts w:cs="Times New Roman"/>
          <w:sz w:val="24"/>
          <w:szCs w:val="24"/>
        </w:rPr>
        <w:t xml:space="preserve"> for</w:t>
      </w:r>
      <w:r w:rsidR="00C40ECD" w:rsidRPr="00BB3D52">
        <w:rPr>
          <w:rFonts w:cs="Times New Roman"/>
          <w:sz w:val="24"/>
          <w:szCs w:val="24"/>
        </w:rPr>
        <w:t xml:space="preserve"> the previous five years.</w:t>
      </w:r>
      <w:r w:rsidR="00C40ECD" w:rsidRPr="00BB3D52">
        <w:rPr>
          <w:rFonts w:cs="Times New Roman"/>
          <w:color w:val="FF0000"/>
          <w:sz w:val="24"/>
          <w:szCs w:val="24"/>
        </w:rPr>
        <w:t xml:space="preserve"> </w:t>
      </w:r>
      <w:r w:rsidR="00C40ECD" w:rsidRPr="00BB3D52">
        <w:rPr>
          <w:rFonts w:cs="Times New Roman"/>
          <w:sz w:val="24"/>
          <w:szCs w:val="24"/>
        </w:rPr>
        <w:t>External</w:t>
      </w:r>
      <w:r w:rsidR="00A83F67" w:rsidRPr="00BB3D52">
        <w:rPr>
          <w:rFonts w:cs="Times New Roman"/>
          <w:sz w:val="24"/>
          <w:szCs w:val="24"/>
        </w:rPr>
        <w:t xml:space="preserve"> princi</w:t>
      </w:r>
      <w:r w:rsidR="00BA3CFD">
        <w:rPr>
          <w:rFonts w:cs="Times New Roman"/>
          <w:sz w:val="24"/>
          <w:szCs w:val="24"/>
        </w:rPr>
        <w:t>pal repayments increased by 10.3</w:t>
      </w:r>
      <w:r w:rsidR="00A83F67" w:rsidRPr="00BB3D52">
        <w:rPr>
          <w:rFonts w:cs="Times New Roman"/>
          <w:sz w:val="24"/>
          <w:szCs w:val="24"/>
        </w:rPr>
        <w:t>% from 2020</w:t>
      </w:r>
      <w:r w:rsidR="00C40ECD" w:rsidRPr="00BB3D52">
        <w:rPr>
          <w:rFonts w:cs="Times New Roman"/>
          <w:sz w:val="24"/>
          <w:szCs w:val="24"/>
        </w:rPr>
        <w:t>, while domest</w:t>
      </w:r>
      <w:r w:rsidR="00A83F67" w:rsidRPr="00BB3D52">
        <w:rPr>
          <w:rFonts w:cs="Times New Roman"/>
          <w:sz w:val="24"/>
          <w:szCs w:val="24"/>
        </w:rPr>
        <w:t>ic repayments de</w:t>
      </w:r>
      <w:r w:rsidR="0050691E" w:rsidRPr="00BB3D52">
        <w:rPr>
          <w:rFonts w:cs="Times New Roman"/>
          <w:sz w:val="24"/>
          <w:szCs w:val="24"/>
        </w:rPr>
        <w:t>creased by</w:t>
      </w:r>
      <w:r w:rsidR="00A369BA" w:rsidRPr="00BB3D52">
        <w:rPr>
          <w:rFonts w:cs="Times New Roman"/>
          <w:sz w:val="24"/>
          <w:szCs w:val="24"/>
        </w:rPr>
        <w:t xml:space="preserve"> </w:t>
      </w:r>
      <w:r w:rsidR="00BA3CFD">
        <w:rPr>
          <w:rFonts w:cs="Times New Roman"/>
          <w:sz w:val="24"/>
          <w:szCs w:val="24"/>
        </w:rPr>
        <w:t>15.2</w:t>
      </w:r>
      <w:r w:rsidR="00A83F67" w:rsidRPr="00BB3D52">
        <w:rPr>
          <w:rFonts w:cs="Times New Roman"/>
          <w:sz w:val="24"/>
          <w:szCs w:val="24"/>
        </w:rPr>
        <w:t>% over 2020</w:t>
      </w:r>
      <w:r w:rsidR="00C40ECD" w:rsidRPr="00BB3D52">
        <w:rPr>
          <w:rFonts w:cs="Times New Roman"/>
          <w:sz w:val="24"/>
          <w:szCs w:val="24"/>
        </w:rPr>
        <w:t>.</w:t>
      </w:r>
      <w:r w:rsidR="00C40ECD" w:rsidRPr="00BB3D52">
        <w:rPr>
          <w:rFonts w:cs="Times New Roman"/>
          <w:color w:val="FF0000"/>
          <w:sz w:val="24"/>
          <w:szCs w:val="24"/>
        </w:rPr>
        <w:t xml:space="preserve"> </w:t>
      </w:r>
      <w:r w:rsidR="00C40ECD" w:rsidRPr="00BB3D52">
        <w:rPr>
          <w:rFonts w:cs="Times New Roman"/>
          <w:sz w:val="24"/>
          <w:szCs w:val="24"/>
        </w:rPr>
        <w:t>Interest p</w:t>
      </w:r>
      <w:r w:rsidR="00942CE8">
        <w:rPr>
          <w:rFonts w:cs="Times New Roman"/>
          <w:sz w:val="24"/>
          <w:szCs w:val="24"/>
        </w:rPr>
        <w:t>ayments for 2021 were only 13.5</w:t>
      </w:r>
      <w:r w:rsidR="00C40ECD" w:rsidRPr="00BB3D52">
        <w:rPr>
          <w:rFonts w:cs="Times New Roman"/>
          <w:sz w:val="24"/>
          <w:szCs w:val="24"/>
        </w:rPr>
        <w:t xml:space="preserve">% of the total </w:t>
      </w:r>
      <w:r w:rsidR="00942CE8">
        <w:rPr>
          <w:rFonts w:cs="Times New Roman"/>
          <w:sz w:val="24"/>
          <w:szCs w:val="24"/>
        </w:rPr>
        <w:t>debt service, increasing by 9.7</w:t>
      </w:r>
      <w:r w:rsidR="00A83F67" w:rsidRPr="00BB3D52">
        <w:rPr>
          <w:rFonts w:cs="Times New Roman"/>
          <w:sz w:val="24"/>
          <w:szCs w:val="24"/>
        </w:rPr>
        <w:t>% over</w:t>
      </w:r>
      <w:r w:rsidR="006A74E3" w:rsidRPr="00BB3D52">
        <w:rPr>
          <w:rFonts w:cs="Times New Roman"/>
          <w:sz w:val="24"/>
          <w:szCs w:val="24"/>
        </w:rPr>
        <w:t xml:space="preserve"> 2020.</w:t>
      </w:r>
      <w:r w:rsidR="006A74E3" w:rsidRPr="00BB3D52">
        <w:rPr>
          <w:rFonts w:cs="Times New Roman"/>
          <w:color w:val="FF0000"/>
          <w:sz w:val="24"/>
          <w:szCs w:val="24"/>
        </w:rPr>
        <w:t xml:space="preserve"> </w:t>
      </w:r>
      <w:r w:rsidR="006A74E3" w:rsidRPr="00BB3D52">
        <w:rPr>
          <w:rFonts w:cs="Times New Roman"/>
          <w:sz w:val="24"/>
          <w:szCs w:val="24"/>
        </w:rPr>
        <w:t>External interest payments accounted for 37.7% of total interest payments in 2021, while domestic repayments represented 62.3% of total inter</w:t>
      </w:r>
      <w:r w:rsidR="004B5BCA">
        <w:rPr>
          <w:rFonts w:cs="Times New Roman"/>
          <w:sz w:val="24"/>
          <w:szCs w:val="24"/>
        </w:rPr>
        <w:t>est payments for 2021. (</w:t>
      </w:r>
      <w:r w:rsidR="00392EA2">
        <w:rPr>
          <w:rFonts w:cs="Times New Roman"/>
          <w:sz w:val="24"/>
          <w:szCs w:val="24"/>
        </w:rPr>
        <w:t>Figure</w:t>
      </w:r>
      <w:r w:rsidR="004B5BCA">
        <w:rPr>
          <w:rFonts w:cs="Times New Roman"/>
          <w:sz w:val="24"/>
          <w:szCs w:val="24"/>
        </w:rPr>
        <w:t xml:space="preserve"> 19</w:t>
      </w:r>
      <w:r w:rsidR="006A74E3" w:rsidRPr="00BB3D52">
        <w:rPr>
          <w:rFonts w:cs="Times New Roman"/>
          <w:sz w:val="24"/>
          <w:szCs w:val="24"/>
        </w:rPr>
        <w:t>)</w:t>
      </w:r>
      <w:r w:rsidR="00195F37" w:rsidRPr="00195F37">
        <w:rPr>
          <w:noProof/>
          <w:lang w:eastAsia="en-029"/>
        </w:rPr>
        <w:t xml:space="preserve"> </w:t>
      </w:r>
      <w:r w:rsidR="004B5BCA" w:rsidRPr="004B5BCA">
        <w:rPr>
          <w:noProof/>
          <w:lang w:eastAsia="en-029"/>
        </w:rPr>
        <w:t xml:space="preserve"> </w:t>
      </w:r>
      <w:r w:rsidR="006A74E3" w:rsidRPr="00BB3D52">
        <w:rPr>
          <w:rFonts w:cs="Times New Roman"/>
          <w:sz w:val="24"/>
          <w:szCs w:val="24"/>
        </w:rPr>
        <w:t xml:space="preserve"> </w:t>
      </w:r>
    </w:p>
    <w:p w14:paraId="50F4D4F5" w14:textId="77777777" w:rsidR="00790FB8" w:rsidRPr="00BB3D52" w:rsidRDefault="00365B1B" w:rsidP="00E0795E">
      <w:pPr>
        <w:pStyle w:val="Heading2"/>
        <w:spacing w:line="360" w:lineRule="auto"/>
        <w:rPr>
          <w:rFonts w:cs="Times New Roman"/>
          <w:sz w:val="24"/>
          <w:szCs w:val="24"/>
        </w:rPr>
      </w:pPr>
      <w:bookmarkStart w:id="107" w:name="_Toc102558934"/>
      <w:r>
        <w:rPr>
          <w:rFonts w:cs="Times New Roman"/>
          <w:sz w:val="24"/>
          <w:szCs w:val="24"/>
        </w:rPr>
        <w:t>6</w:t>
      </w:r>
      <w:r w:rsidR="000D2EAB" w:rsidRPr="00BB3D52">
        <w:rPr>
          <w:rFonts w:cs="Times New Roman"/>
          <w:sz w:val="24"/>
          <w:szCs w:val="24"/>
        </w:rPr>
        <w:t>.3 Central Government</w:t>
      </w:r>
      <w:r w:rsidR="00BC53E9" w:rsidRPr="00BB3D52">
        <w:rPr>
          <w:rFonts w:cs="Times New Roman"/>
          <w:sz w:val="24"/>
          <w:szCs w:val="24"/>
        </w:rPr>
        <w:t xml:space="preserve"> Disbursements</w:t>
      </w:r>
      <w:bookmarkEnd w:id="107"/>
    </w:p>
    <w:p w14:paraId="5B9AA999" w14:textId="2DD5C637" w:rsidR="00460452" w:rsidRPr="00BB3D52" w:rsidRDefault="00365B1B" w:rsidP="00E0795E">
      <w:pPr>
        <w:spacing w:line="360" w:lineRule="auto"/>
        <w:jc w:val="both"/>
        <w:rPr>
          <w:rFonts w:cs="Times New Roman"/>
          <w:sz w:val="24"/>
          <w:szCs w:val="24"/>
        </w:rPr>
      </w:pPr>
      <w:r>
        <w:rPr>
          <w:noProof/>
          <w:lang w:val="en-US"/>
        </w:rPr>
        <mc:AlternateContent>
          <mc:Choice Requires="wps">
            <w:drawing>
              <wp:anchor distT="0" distB="0" distL="114300" distR="114300" simplePos="0" relativeHeight="251730944" behindDoc="0" locked="0" layoutInCell="1" allowOverlap="1" wp14:anchorId="0603E3BA" wp14:editId="5E43FB35">
                <wp:simplePos x="0" y="0"/>
                <wp:positionH relativeFrom="margin">
                  <wp:posOffset>2990215</wp:posOffset>
                </wp:positionH>
                <wp:positionV relativeFrom="paragraph">
                  <wp:posOffset>119380</wp:posOffset>
                </wp:positionV>
                <wp:extent cx="2771775" cy="133350"/>
                <wp:effectExtent l="0" t="0" r="9525" b="0"/>
                <wp:wrapSquare wrapText="bothSides"/>
                <wp:docPr id="49" name="Text Box 49"/>
                <wp:cNvGraphicFramePr/>
                <a:graphic xmlns:a="http://schemas.openxmlformats.org/drawingml/2006/main">
                  <a:graphicData uri="http://schemas.microsoft.com/office/word/2010/wordprocessingShape">
                    <wps:wsp>
                      <wps:cNvSpPr txBox="1"/>
                      <wps:spPr>
                        <a:xfrm>
                          <a:off x="0" y="0"/>
                          <a:ext cx="2771775" cy="133350"/>
                        </a:xfrm>
                        <a:prstGeom prst="rect">
                          <a:avLst/>
                        </a:prstGeom>
                        <a:solidFill>
                          <a:prstClr val="white"/>
                        </a:solidFill>
                        <a:ln>
                          <a:noFill/>
                        </a:ln>
                        <a:effectLst/>
                      </wps:spPr>
                      <wps:txbx>
                        <w:txbxContent>
                          <w:p w14:paraId="33608C2F" w14:textId="77777777" w:rsidR="005C750A" w:rsidRPr="00FF445F" w:rsidRDefault="005C750A" w:rsidP="007976F6">
                            <w:bookmarkStart w:id="108" w:name="_Toc102559790"/>
                            <w:bookmarkStart w:id="109" w:name="_Toc102560688"/>
                            <w:r w:rsidRPr="00FF445F">
                              <w:t xml:space="preserve">Figure </w:t>
                            </w:r>
                            <w:r w:rsidR="002E1637">
                              <w:fldChar w:fldCharType="begin"/>
                            </w:r>
                            <w:r w:rsidR="002E1637">
                              <w:instrText xml:space="preserve"> SEQ Figure \* ARABIC </w:instrText>
                            </w:r>
                            <w:r w:rsidR="002E1637">
                              <w:fldChar w:fldCharType="separate"/>
                            </w:r>
                            <w:r>
                              <w:rPr>
                                <w:noProof/>
                              </w:rPr>
                              <w:t>20</w:t>
                            </w:r>
                            <w:r w:rsidR="002E1637">
                              <w:rPr>
                                <w:noProof/>
                              </w:rPr>
                              <w:fldChar w:fldCharType="end"/>
                            </w:r>
                            <w:r w:rsidRPr="00FF445F">
                              <w:t>: Central Government Loan Disbursements 2021</w:t>
                            </w:r>
                            <w:bookmarkEnd w:id="108"/>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603E3BA" id="Text Box 49" o:spid="_x0000_s1050" type="#_x0000_t202" style="position:absolute;left:0;text-align:left;margin-left:235.45pt;margin-top:9.4pt;width:218.25pt;height:10.5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" stroked="f">
                <v:textbox inset="0,0,0,0">
                  <w:txbxContent>
                    <w:p w14:paraId="33608C2F" w14:textId="77777777" w:rsidR="005C750A" w:rsidRPr="00FF445F" w:rsidRDefault="005C750A" w:rsidP="007976F6">
                      <w:bookmarkStart w:id="148" w:name="_Toc102559790"/>
                      <w:bookmarkStart w:id="149" w:name="_Toc102560688"/>
                      <w:r w:rsidRPr="00FF445F">
                        <w:t xml:space="preserve">Figure </w:t>
                      </w:r>
                      <w:fldSimple w:instr=" SEQ Figure \* ARABIC ">
                        <w:r>
                          <w:rPr>
                            <w:noProof/>
                          </w:rPr>
                          <w:t>20</w:t>
                        </w:r>
                      </w:fldSimple>
                      <w:r w:rsidRPr="00FF445F">
                        <w:t>: Central Government Loan Disbursements 2021</w:t>
                      </w:r>
                      <w:bookmarkEnd w:id="148"/>
                      <w:bookmarkEnd w:id="149"/>
                    </w:p>
                  </w:txbxContent>
                </v:textbox>
                <w10:wrap type="square" anchorx="margin"/>
              </v:shape>
            </w:pict>
          </mc:Fallback>
        </mc:AlternateContent>
      </w:r>
      <w:r w:rsidR="00C40ECD" w:rsidRPr="00BB3D52">
        <w:rPr>
          <w:rFonts w:cs="Times New Roman"/>
          <w:sz w:val="24"/>
          <w:szCs w:val="24"/>
        </w:rPr>
        <w:t xml:space="preserve">The </w:t>
      </w:r>
      <w:r w:rsidR="00DD5C0B">
        <w:rPr>
          <w:rFonts w:cs="Times New Roman"/>
          <w:sz w:val="24"/>
          <w:szCs w:val="24"/>
        </w:rPr>
        <w:t>GOSL</w:t>
      </w:r>
      <w:r w:rsidR="00C40ECD" w:rsidRPr="00BB3D52">
        <w:rPr>
          <w:rFonts w:cs="Times New Roman"/>
          <w:sz w:val="24"/>
          <w:szCs w:val="24"/>
        </w:rPr>
        <w:t xml:space="preserve"> </w:t>
      </w:r>
      <w:r w:rsidR="00460452" w:rsidRPr="00BB3D52">
        <w:rPr>
          <w:rFonts w:cs="Times New Roman"/>
          <w:sz w:val="24"/>
          <w:szCs w:val="24"/>
        </w:rPr>
        <w:t xml:space="preserve">received disbursements from three external creditors for 2021 </w:t>
      </w:r>
      <w:r w:rsidR="005702C6" w:rsidRPr="00BB3D52">
        <w:rPr>
          <w:rFonts w:cs="Times New Roman"/>
          <w:sz w:val="24"/>
          <w:szCs w:val="24"/>
        </w:rPr>
        <w:t>totalling</w:t>
      </w:r>
      <w:r w:rsidR="00460452" w:rsidRPr="00BB3D52">
        <w:rPr>
          <w:rFonts w:cs="Times New Roman"/>
          <w:sz w:val="24"/>
          <w:szCs w:val="24"/>
        </w:rPr>
        <w:t xml:space="preserve"> $493.43</w:t>
      </w:r>
      <w:r w:rsidR="00C40ECD" w:rsidRPr="00BB3D52">
        <w:rPr>
          <w:rFonts w:cs="Times New Roman"/>
          <w:sz w:val="24"/>
          <w:szCs w:val="24"/>
        </w:rPr>
        <w:t>M. There were n</w:t>
      </w:r>
      <w:r w:rsidR="00460452" w:rsidRPr="00BB3D52">
        <w:rPr>
          <w:rFonts w:cs="Times New Roman"/>
          <w:sz w:val="24"/>
          <w:szCs w:val="24"/>
        </w:rPr>
        <w:t>o domestic disbursements in 2021. The International Development Association (IDA</w:t>
      </w:r>
      <w:r w:rsidR="00C40ECD" w:rsidRPr="00BB3D52">
        <w:rPr>
          <w:rFonts w:cs="Times New Roman"/>
          <w:sz w:val="24"/>
          <w:szCs w:val="24"/>
        </w:rPr>
        <w:t>)</w:t>
      </w:r>
      <w:r w:rsidR="00460452" w:rsidRPr="00BB3D52">
        <w:rPr>
          <w:rFonts w:cs="Times New Roman"/>
          <w:sz w:val="24"/>
          <w:szCs w:val="24"/>
        </w:rPr>
        <w:t xml:space="preserve"> of the World Bank</w:t>
      </w:r>
      <w:r w:rsidR="00C40ECD" w:rsidRPr="00BB3D52">
        <w:rPr>
          <w:rFonts w:cs="Times New Roman"/>
          <w:sz w:val="24"/>
          <w:szCs w:val="24"/>
        </w:rPr>
        <w:t xml:space="preserve"> was the leading source of loan dis</w:t>
      </w:r>
      <w:r w:rsidR="00460452" w:rsidRPr="00BB3D52">
        <w:rPr>
          <w:rFonts w:cs="Times New Roman"/>
          <w:sz w:val="24"/>
          <w:szCs w:val="24"/>
        </w:rPr>
        <w:t>bursements for 2021 with $232.15</w:t>
      </w:r>
      <w:r w:rsidR="00C40ECD" w:rsidRPr="00BB3D52">
        <w:rPr>
          <w:rFonts w:cs="Times New Roman"/>
          <w:sz w:val="24"/>
          <w:szCs w:val="24"/>
        </w:rPr>
        <w:t xml:space="preserve">M. The </w:t>
      </w:r>
      <w:r w:rsidR="0024119B">
        <w:rPr>
          <w:noProof/>
          <w:lang w:val="en-US"/>
        </w:rPr>
        <w:drawing>
          <wp:anchor distT="0" distB="0" distL="114300" distR="114300" simplePos="0" relativeHeight="251674624" behindDoc="0" locked="0" layoutInCell="1" allowOverlap="1" wp14:anchorId="710919A3" wp14:editId="052965F3">
            <wp:simplePos x="0" y="0"/>
            <wp:positionH relativeFrom="margin">
              <wp:align>right</wp:align>
            </wp:positionH>
            <wp:positionV relativeFrom="paragraph">
              <wp:posOffset>0</wp:posOffset>
            </wp:positionV>
            <wp:extent cx="3291840" cy="1920240"/>
            <wp:effectExtent l="0" t="0" r="0" b="0"/>
            <wp:wrapSquare wrapText="bothSides"/>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r w:rsidR="003A4E69">
        <w:rPr>
          <w:rFonts w:cs="Times New Roman"/>
          <w:sz w:val="24"/>
          <w:szCs w:val="24"/>
        </w:rPr>
        <w:t>EXIM</w:t>
      </w:r>
      <w:r w:rsidR="00C40ECD" w:rsidRPr="00BB3D52">
        <w:rPr>
          <w:rFonts w:cs="Times New Roman"/>
          <w:sz w:val="24"/>
          <w:szCs w:val="24"/>
        </w:rPr>
        <w:t xml:space="preserve"> Bank o</w:t>
      </w:r>
      <w:r w:rsidR="00460452" w:rsidRPr="00BB3D52">
        <w:rPr>
          <w:rFonts w:cs="Times New Roman"/>
          <w:sz w:val="24"/>
          <w:szCs w:val="24"/>
        </w:rPr>
        <w:t>f the Republic of China disbursed $175.81M, and the Caribbean Development Bank (CDB) disbursed $85.47</w:t>
      </w:r>
      <w:r w:rsidR="00C40ECD" w:rsidRPr="00BB3D52">
        <w:rPr>
          <w:rFonts w:cs="Times New Roman"/>
          <w:sz w:val="24"/>
          <w:szCs w:val="24"/>
        </w:rPr>
        <w:t>M.</w:t>
      </w:r>
      <w:r w:rsidR="00FE44DF" w:rsidRPr="00BB3D52">
        <w:rPr>
          <w:rFonts w:cs="Times New Roman"/>
          <w:sz w:val="24"/>
          <w:szCs w:val="24"/>
        </w:rPr>
        <w:t xml:space="preserve"> (</w:t>
      </w:r>
      <w:r w:rsidR="00392EA2">
        <w:rPr>
          <w:rFonts w:cs="Times New Roman"/>
          <w:sz w:val="24"/>
          <w:szCs w:val="24"/>
        </w:rPr>
        <w:t>Figure</w:t>
      </w:r>
      <w:r w:rsidR="00FE44DF" w:rsidRPr="00BB3D52">
        <w:rPr>
          <w:rFonts w:cs="Times New Roman"/>
          <w:sz w:val="24"/>
          <w:szCs w:val="24"/>
        </w:rPr>
        <w:t xml:space="preserve"> </w:t>
      </w:r>
      <w:r w:rsidR="0024119B">
        <w:rPr>
          <w:rFonts w:cs="Times New Roman"/>
          <w:sz w:val="24"/>
          <w:szCs w:val="24"/>
        </w:rPr>
        <w:t>20</w:t>
      </w:r>
      <w:r w:rsidR="004A363A" w:rsidRPr="00BB3D52">
        <w:rPr>
          <w:rFonts w:cs="Times New Roman"/>
          <w:sz w:val="24"/>
          <w:szCs w:val="24"/>
        </w:rPr>
        <w:t>)</w:t>
      </w:r>
      <w:r w:rsidR="0024119B" w:rsidRPr="0024119B">
        <w:rPr>
          <w:noProof/>
          <w:lang w:eastAsia="en-029"/>
        </w:rPr>
        <w:t xml:space="preserve"> </w:t>
      </w:r>
      <w:r w:rsidR="004A363A" w:rsidRPr="00BB3D52">
        <w:rPr>
          <w:rFonts w:cs="Times New Roman"/>
          <w:sz w:val="24"/>
          <w:szCs w:val="24"/>
        </w:rPr>
        <w:t xml:space="preserve"> </w:t>
      </w:r>
      <w:bookmarkStart w:id="110" w:name="_Toc519842265"/>
      <w:bookmarkEnd w:id="100"/>
    </w:p>
    <w:p w14:paraId="57693051" w14:textId="77777777" w:rsidR="003C5762" w:rsidRPr="00BB3D52" w:rsidRDefault="00365B1B" w:rsidP="003B69EF">
      <w:pPr>
        <w:pStyle w:val="Heading1"/>
        <w:spacing w:line="360" w:lineRule="auto"/>
        <w:jc w:val="both"/>
        <w:rPr>
          <w:rFonts w:cs="Times New Roman"/>
          <w:sz w:val="24"/>
          <w:szCs w:val="24"/>
        </w:rPr>
      </w:pPr>
      <w:bookmarkStart w:id="111" w:name="_Toc102558935"/>
      <w:bookmarkStart w:id="112" w:name="_Toc947409"/>
      <w:bookmarkStart w:id="113" w:name="_Toc25229003"/>
      <w:bookmarkStart w:id="114" w:name="_Toc522289578"/>
      <w:r w:rsidRPr="00BB3D52">
        <w:rPr>
          <w:rFonts w:cs="Times New Roman"/>
          <w:sz w:val="24"/>
          <w:szCs w:val="24"/>
        </w:rPr>
        <w:t>7</w:t>
      </w:r>
      <w:r w:rsidR="001F0670" w:rsidRPr="00BB3D52">
        <w:rPr>
          <w:rFonts w:cs="Times New Roman"/>
          <w:sz w:val="24"/>
          <w:szCs w:val="24"/>
        </w:rPr>
        <w:t xml:space="preserve">. </w:t>
      </w:r>
      <w:r w:rsidR="00E04489" w:rsidRPr="00BB3D52">
        <w:rPr>
          <w:rFonts w:cs="Times New Roman"/>
          <w:sz w:val="24"/>
          <w:szCs w:val="24"/>
        </w:rPr>
        <w:t>Analysis of Debt Portfolio and Risk E</w:t>
      </w:r>
      <w:r w:rsidR="00540A0B" w:rsidRPr="00BB3D52">
        <w:rPr>
          <w:rFonts w:cs="Times New Roman"/>
          <w:sz w:val="24"/>
          <w:szCs w:val="24"/>
        </w:rPr>
        <w:t>valuation</w:t>
      </w:r>
      <w:bookmarkEnd w:id="111"/>
    </w:p>
    <w:p w14:paraId="796F762E" w14:textId="77777777" w:rsidR="00B25590" w:rsidRPr="0024119B" w:rsidRDefault="00365B1B" w:rsidP="00E0795E">
      <w:pPr>
        <w:spacing w:line="360" w:lineRule="auto"/>
        <w:jc w:val="both"/>
        <w:rPr>
          <w:rFonts w:cs="Times New Roman"/>
          <w:sz w:val="24"/>
          <w:szCs w:val="24"/>
        </w:rPr>
      </w:pPr>
      <w:r w:rsidRPr="0024119B">
        <w:rPr>
          <w:rFonts w:cs="Times New Roman"/>
          <w:sz w:val="24"/>
          <w:szCs w:val="24"/>
        </w:rPr>
        <w:t xml:space="preserve">Over the medium term, </w:t>
      </w:r>
      <w:r w:rsidR="00D442C7" w:rsidRPr="0024119B">
        <w:rPr>
          <w:rFonts w:cs="Times New Roman"/>
          <w:sz w:val="24"/>
          <w:szCs w:val="24"/>
        </w:rPr>
        <w:t xml:space="preserve">The </w:t>
      </w:r>
      <w:r w:rsidR="00DD5C0B">
        <w:rPr>
          <w:rFonts w:cs="Times New Roman"/>
          <w:sz w:val="24"/>
          <w:szCs w:val="24"/>
        </w:rPr>
        <w:t>GOSL</w:t>
      </w:r>
      <w:r w:rsidR="00D442C7" w:rsidRPr="0024119B">
        <w:rPr>
          <w:rFonts w:cs="Times New Roman"/>
          <w:sz w:val="24"/>
          <w:szCs w:val="24"/>
        </w:rPr>
        <w:t xml:space="preserve">’s </w:t>
      </w:r>
      <w:r w:rsidRPr="0024119B">
        <w:rPr>
          <w:rFonts w:cs="Times New Roman"/>
          <w:sz w:val="24"/>
          <w:szCs w:val="24"/>
        </w:rPr>
        <w:t>risk management targets include:</w:t>
      </w:r>
    </w:p>
    <w:p w14:paraId="4415ABFC" w14:textId="77777777" w:rsidR="00B25590" w:rsidRPr="0024119B" w:rsidRDefault="00365B1B" w:rsidP="00E0795E">
      <w:pPr>
        <w:pStyle w:val="ListParagraph"/>
        <w:numPr>
          <w:ilvl w:val="0"/>
          <w:numId w:val="8"/>
        </w:numPr>
        <w:spacing w:line="360" w:lineRule="auto"/>
        <w:jc w:val="both"/>
        <w:rPr>
          <w:rFonts w:cs="Times New Roman"/>
          <w:sz w:val="24"/>
          <w:szCs w:val="24"/>
        </w:rPr>
      </w:pPr>
      <w:r>
        <w:rPr>
          <w:rFonts w:cs="Times New Roman"/>
          <w:sz w:val="24"/>
          <w:szCs w:val="24"/>
        </w:rPr>
        <w:t>e</w:t>
      </w:r>
      <w:r w:rsidR="001F0670" w:rsidRPr="0024119B">
        <w:rPr>
          <w:rFonts w:cs="Times New Roman"/>
          <w:sz w:val="24"/>
          <w:szCs w:val="24"/>
        </w:rPr>
        <w:t xml:space="preserve">xtending the average time to </w:t>
      </w:r>
      <w:r w:rsidR="00D01E26" w:rsidRPr="0024119B">
        <w:rPr>
          <w:rFonts w:cs="Times New Roman"/>
          <w:sz w:val="24"/>
          <w:szCs w:val="24"/>
        </w:rPr>
        <w:t>matur</w:t>
      </w:r>
      <w:r w:rsidR="0024119B">
        <w:rPr>
          <w:rFonts w:cs="Times New Roman"/>
          <w:sz w:val="24"/>
          <w:szCs w:val="24"/>
        </w:rPr>
        <w:t>ity to greater than eight years,</w:t>
      </w:r>
    </w:p>
    <w:p w14:paraId="0E73C455" w14:textId="77777777" w:rsidR="00B25590" w:rsidRPr="0024119B" w:rsidRDefault="00365B1B" w:rsidP="00E0795E">
      <w:pPr>
        <w:pStyle w:val="ListParagraph"/>
        <w:numPr>
          <w:ilvl w:val="0"/>
          <w:numId w:val="8"/>
        </w:numPr>
        <w:spacing w:line="360" w:lineRule="auto"/>
        <w:jc w:val="both"/>
        <w:rPr>
          <w:rFonts w:cs="Times New Roman"/>
          <w:sz w:val="24"/>
          <w:szCs w:val="24"/>
        </w:rPr>
      </w:pPr>
      <w:r>
        <w:rPr>
          <w:rFonts w:cs="Times New Roman"/>
          <w:sz w:val="24"/>
          <w:szCs w:val="24"/>
        </w:rPr>
        <w:t>r</w:t>
      </w:r>
      <w:r w:rsidR="001F0670" w:rsidRPr="0024119B">
        <w:rPr>
          <w:rFonts w:cs="Times New Roman"/>
          <w:sz w:val="24"/>
          <w:szCs w:val="24"/>
        </w:rPr>
        <w:t>eduction of short-term debt</w:t>
      </w:r>
      <w:r w:rsidR="00D01E26" w:rsidRPr="0024119B">
        <w:rPr>
          <w:rFonts w:cs="Times New Roman"/>
          <w:sz w:val="24"/>
          <w:szCs w:val="24"/>
        </w:rPr>
        <w:t xml:space="preserve"> to </w:t>
      </w:r>
      <w:r>
        <w:rPr>
          <w:rFonts w:cs="Times New Roman"/>
          <w:sz w:val="24"/>
          <w:szCs w:val="24"/>
        </w:rPr>
        <w:t>less than 15% of the total debt and,</w:t>
      </w:r>
    </w:p>
    <w:p w14:paraId="0A3FA5EF" w14:textId="77777777" w:rsidR="00B25590" w:rsidRPr="0024119B" w:rsidRDefault="00365B1B" w:rsidP="00E0795E">
      <w:pPr>
        <w:pStyle w:val="ListParagraph"/>
        <w:numPr>
          <w:ilvl w:val="0"/>
          <w:numId w:val="8"/>
        </w:numPr>
        <w:spacing w:line="360" w:lineRule="auto"/>
        <w:jc w:val="both"/>
        <w:rPr>
          <w:rFonts w:cs="Times New Roman"/>
          <w:sz w:val="24"/>
          <w:szCs w:val="24"/>
        </w:rPr>
      </w:pPr>
      <w:r>
        <w:rPr>
          <w:rFonts w:cs="Times New Roman"/>
          <w:sz w:val="24"/>
          <w:szCs w:val="24"/>
        </w:rPr>
        <w:t>a</w:t>
      </w:r>
      <w:r w:rsidR="001F0670" w:rsidRPr="0024119B">
        <w:rPr>
          <w:rFonts w:cs="Times New Roman"/>
          <w:sz w:val="24"/>
          <w:szCs w:val="24"/>
        </w:rPr>
        <w:t>ttractin</w:t>
      </w:r>
      <w:r w:rsidR="00D01E26" w:rsidRPr="0024119B">
        <w:rPr>
          <w:rFonts w:cs="Times New Roman"/>
          <w:sz w:val="24"/>
          <w:szCs w:val="24"/>
        </w:rPr>
        <w:t>g low-cost borrowing to reduce the weighted average cost of debt to less than 4%.</w:t>
      </w:r>
    </w:p>
    <w:p w14:paraId="46CD6604" w14:textId="77777777" w:rsidR="001F42E3" w:rsidRPr="00BB3D52" w:rsidRDefault="00365B1B" w:rsidP="00E0795E">
      <w:pPr>
        <w:pStyle w:val="Heading2"/>
        <w:spacing w:line="360" w:lineRule="auto"/>
        <w:rPr>
          <w:rFonts w:cs="Times New Roman"/>
          <w:sz w:val="24"/>
          <w:szCs w:val="24"/>
        </w:rPr>
      </w:pPr>
      <w:bookmarkStart w:id="115" w:name="_Toc102558936"/>
      <w:r>
        <w:rPr>
          <w:rFonts w:cs="Times New Roman"/>
          <w:sz w:val="24"/>
          <w:szCs w:val="24"/>
        </w:rPr>
        <w:t>7</w:t>
      </w:r>
      <w:r w:rsidR="001F0670" w:rsidRPr="00BB3D52">
        <w:rPr>
          <w:rFonts w:cs="Times New Roman"/>
          <w:sz w:val="24"/>
          <w:szCs w:val="24"/>
        </w:rPr>
        <w:t xml:space="preserve">.1 </w:t>
      </w:r>
      <w:r w:rsidR="003C5762" w:rsidRPr="00BB3D52">
        <w:rPr>
          <w:rFonts w:cs="Times New Roman"/>
          <w:sz w:val="24"/>
          <w:szCs w:val="24"/>
        </w:rPr>
        <w:t>The A</w:t>
      </w:r>
      <w:r w:rsidR="0077467A" w:rsidRPr="00BB3D52">
        <w:rPr>
          <w:rFonts w:cs="Times New Roman"/>
          <w:sz w:val="24"/>
          <w:szCs w:val="24"/>
        </w:rPr>
        <w:t xml:space="preserve">verage </w:t>
      </w:r>
      <w:r w:rsidR="003C5762" w:rsidRPr="00BB3D52">
        <w:rPr>
          <w:rFonts w:cs="Times New Roman"/>
          <w:sz w:val="24"/>
          <w:szCs w:val="24"/>
        </w:rPr>
        <w:t>T</w:t>
      </w:r>
      <w:r w:rsidR="0077467A" w:rsidRPr="00BB3D52">
        <w:rPr>
          <w:rFonts w:cs="Times New Roman"/>
          <w:sz w:val="24"/>
          <w:szCs w:val="24"/>
        </w:rPr>
        <w:t xml:space="preserve">ime to </w:t>
      </w:r>
      <w:r w:rsidR="003C5762" w:rsidRPr="00BB3D52">
        <w:rPr>
          <w:rFonts w:cs="Times New Roman"/>
          <w:sz w:val="24"/>
          <w:szCs w:val="24"/>
        </w:rPr>
        <w:t>M</w:t>
      </w:r>
      <w:r w:rsidR="0077467A" w:rsidRPr="00BB3D52">
        <w:rPr>
          <w:rFonts w:cs="Times New Roman"/>
          <w:sz w:val="24"/>
          <w:szCs w:val="24"/>
        </w:rPr>
        <w:t>aturity</w:t>
      </w:r>
      <w:r w:rsidR="003C5762" w:rsidRPr="00BB3D52">
        <w:rPr>
          <w:rFonts w:cs="Times New Roman"/>
          <w:sz w:val="24"/>
          <w:szCs w:val="24"/>
        </w:rPr>
        <w:t xml:space="preserve"> </w:t>
      </w:r>
      <w:r w:rsidR="00640C57" w:rsidRPr="00BB3D52">
        <w:rPr>
          <w:rFonts w:cs="Times New Roman"/>
          <w:sz w:val="24"/>
          <w:szCs w:val="24"/>
        </w:rPr>
        <w:t>(ATM)</w:t>
      </w:r>
      <w:bookmarkEnd w:id="115"/>
      <w:r w:rsidR="00640C57" w:rsidRPr="00BB3D52">
        <w:rPr>
          <w:rFonts w:cs="Times New Roman"/>
          <w:sz w:val="24"/>
          <w:szCs w:val="24"/>
        </w:rPr>
        <w:t xml:space="preserve"> </w:t>
      </w:r>
    </w:p>
    <w:p w14:paraId="50CF7707" w14:textId="72ABEE4E" w:rsidR="00DF2A42" w:rsidRPr="00DF2A42" w:rsidRDefault="00365B1B" w:rsidP="00E0795E">
      <w:pPr>
        <w:spacing w:line="360" w:lineRule="auto"/>
        <w:jc w:val="both"/>
        <w:rPr>
          <w:noProof/>
          <w:lang w:eastAsia="en-029"/>
        </w:rPr>
      </w:pPr>
      <w:r w:rsidRPr="00BB3D52">
        <w:rPr>
          <w:rFonts w:cs="Times New Roman"/>
          <w:sz w:val="24"/>
          <w:szCs w:val="24"/>
        </w:rPr>
        <w:t xml:space="preserve">The ATM is </w:t>
      </w:r>
      <w:r w:rsidR="00AD1A42" w:rsidRPr="00BB3D52">
        <w:rPr>
          <w:rFonts w:cs="Times New Roman"/>
          <w:sz w:val="24"/>
          <w:szCs w:val="24"/>
        </w:rPr>
        <w:t xml:space="preserve">an indicator for estimating refinancing risk. </w:t>
      </w:r>
      <w:r w:rsidR="00BF17C1" w:rsidRPr="00BB3D52">
        <w:rPr>
          <w:rFonts w:cs="Times New Roman"/>
          <w:sz w:val="24"/>
          <w:szCs w:val="24"/>
        </w:rPr>
        <w:t xml:space="preserve">The </w:t>
      </w:r>
      <w:r w:rsidR="00AD1A42" w:rsidRPr="00BB3D52">
        <w:rPr>
          <w:rFonts w:cs="Times New Roman"/>
          <w:sz w:val="24"/>
          <w:szCs w:val="24"/>
        </w:rPr>
        <w:t xml:space="preserve">ATM </w:t>
      </w:r>
      <w:r w:rsidR="00BF17C1" w:rsidRPr="00BB3D52">
        <w:rPr>
          <w:rFonts w:cs="Times New Roman"/>
          <w:sz w:val="24"/>
          <w:szCs w:val="24"/>
        </w:rPr>
        <w:t xml:space="preserve">at </w:t>
      </w:r>
      <w:r w:rsidR="005720ED" w:rsidRPr="00BB3D52">
        <w:rPr>
          <w:rFonts w:cs="Times New Roman"/>
          <w:sz w:val="24"/>
          <w:szCs w:val="24"/>
        </w:rPr>
        <w:t xml:space="preserve">the </w:t>
      </w:r>
      <w:r w:rsidR="005879A9" w:rsidRPr="00BB3D52">
        <w:rPr>
          <w:rFonts w:cs="Times New Roman"/>
          <w:sz w:val="24"/>
          <w:szCs w:val="24"/>
        </w:rPr>
        <w:t>end</w:t>
      </w:r>
      <w:r w:rsidR="005720ED" w:rsidRPr="00BB3D52">
        <w:rPr>
          <w:rFonts w:cs="Times New Roman"/>
          <w:sz w:val="24"/>
          <w:szCs w:val="24"/>
        </w:rPr>
        <w:t xml:space="preserve"> of</w:t>
      </w:r>
      <w:r w:rsidR="005879A9" w:rsidRPr="00BB3D52">
        <w:rPr>
          <w:rFonts w:cs="Times New Roman"/>
          <w:sz w:val="24"/>
          <w:szCs w:val="24"/>
        </w:rPr>
        <w:t xml:space="preserve"> </w:t>
      </w:r>
      <w:r w:rsidR="006242AC" w:rsidRPr="00BB3D52">
        <w:rPr>
          <w:rFonts w:cs="Times New Roman"/>
          <w:sz w:val="24"/>
          <w:szCs w:val="24"/>
        </w:rPr>
        <w:t>December 2021</w:t>
      </w:r>
      <w:r>
        <w:rPr>
          <w:rFonts w:cs="Times New Roman"/>
          <w:sz w:val="24"/>
          <w:szCs w:val="24"/>
        </w:rPr>
        <w:t xml:space="preserve"> increased 9.7% to </w:t>
      </w:r>
      <w:r w:rsidR="006242AC" w:rsidRPr="00BB3D52">
        <w:rPr>
          <w:rFonts w:cs="Times New Roman"/>
          <w:sz w:val="24"/>
          <w:szCs w:val="24"/>
        </w:rPr>
        <w:t>6.2</w:t>
      </w:r>
      <w:r w:rsidR="003C5762" w:rsidRPr="00BB3D52">
        <w:rPr>
          <w:rFonts w:cs="Times New Roman"/>
          <w:sz w:val="24"/>
          <w:szCs w:val="24"/>
        </w:rPr>
        <w:t xml:space="preserve"> years</w:t>
      </w:r>
      <w:r w:rsidR="006242AC" w:rsidRPr="00BB3D52">
        <w:rPr>
          <w:rFonts w:cs="Times New Roman"/>
          <w:sz w:val="24"/>
          <w:szCs w:val="24"/>
        </w:rPr>
        <w:t xml:space="preserve"> from 5.7 years in 2020</w:t>
      </w:r>
      <w:r w:rsidR="009E0654">
        <w:rPr>
          <w:rFonts w:cs="Times New Roman"/>
          <w:sz w:val="24"/>
          <w:szCs w:val="24"/>
        </w:rPr>
        <w:t xml:space="preserve"> as a result of increase in long term central government debt</w:t>
      </w:r>
      <w:r w:rsidR="00BF17C1" w:rsidRPr="00BB3D52">
        <w:rPr>
          <w:rFonts w:cs="Times New Roman"/>
          <w:sz w:val="24"/>
          <w:szCs w:val="24"/>
        </w:rPr>
        <w:t>.</w:t>
      </w:r>
      <w:r w:rsidR="0007643B" w:rsidRPr="00BB3D52">
        <w:rPr>
          <w:rFonts w:cs="Times New Roman"/>
          <w:color w:val="FF0000"/>
          <w:sz w:val="24"/>
          <w:szCs w:val="24"/>
        </w:rPr>
        <w:t xml:space="preserve"> </w:t>
      </w:r>
      <w:r w:rsidR="005720ED" w:rsidRPr="00DF2A42">
        <w:rPr>
          <w:rFonts w:cs="Times New Roman"/>
          <w:sz w:val="24"/>
          <w:szCs w:val="24"/>
        </w:rPr>
        <w:t xml:space="preserve">Lengthening the ATM </w:t>
      </w:r>
      <w:r w:rsidR="0007643B" w:rsidRPr="00DF2A42">
        <w:rPr>
          <w:rFonts w:cs="Times New Roman"/>
          <w:sz w:val="24"/>
          <w:szCs w:val="24"/>
        </w:rPr>
        <w:t xml:space="preserve">eases the cash flow pressure placed on the </w:t>
      </w:r>
      <w:r w:rsidR="005702C6">
        <w:rPr>
          <w:rFonts w:cs="Times New Roman"/>
          <w:sz w:val="24"/>
          <w:szCs w:val="24"/>
        </w:rPr>
        <w:t>Accountant General’s Department</w:t>
      </w:r>
      <w:r w:rsidR="005702C6" w:rsidRPr="00DF2A42">
        <w:rPr>
          <w:rFonts w:cs="Times New Roman"/>
          <w:sz w:val="24"/>
          <w:szCs w:val="24"/>
        </w:rPr>
        <w:t xml:space="preserve"> </w:t>
      </w:r>
      <w:r w:rsidR="0007643B" w:rsidRPr="00DF2A42">
        <w:rPr>
          <w:rFonts w:cs="Times New Roman"/>
          <w:sz w:val="24"/>
          <w:szCs w:val="24"/>
        </w:rPr>
        <w:t xml:space="preserve">for meeting </w:t>
      </w:r>
      <w:r w:rsidR="00126500" w:rsidRPr="00DF2A42">
        <w:rPr>
          <w:rFonts w:cs="Times New Roman"/>
          <w:sz w:val="24"/>
          <w:szCs w:val="24"/>
        </w:rPr>
        <w:t>short-term</w:t>
      </w:r>
      <w:r w:rsidR="00E958E6" w:rsidRPr="00DF2A42">
        <w:rPr>
          <w:rFonts w:cs="Times New Roman"/>
          <w:sz w:val="24"/>
          <w:szCs w:val="24"/>
        </w:rPr>
        <w:t xml:space="preserve"> obligations</w:t>
      </w:r>
      <w:r w:rsidR="0007643B" w:rsidRPr="00DF2A42">
        <w:rPr>
          <w:rFonts w:cs="Times New Roman"/>
          <w:sz w:val="24"/>
          <w:szCs w:val="24"/>
        </w:rPr>
        <w:t xml:space="preserve"> and allows for cushioning of fluctuations in the exchange and interest rates</w:t>
      </w:r>
      <w:r w:rsidR="0007643B" w:rsidRPr="00BB3D52">
        <w:rPr>
          <w:rFonts w:cs="Times New Roman"/>
          <w:color w:val="FF0000"/>
          <w:sz w:val="24"/>
          <w:szCs w:val="24"/>
        </w:rPr>
        <w:t>.</w:t>
      </w:r>
      <w:r w:rsidR="00EB2D6E" w:rsidRPr="00BB3D52">
        <w:rPr>
          <w:rFonts w:cs="Times New Roman"/>
          <w:color w:val="FF0000"/>
          <w:sz w:val="24"/>
          <w:szCs w:val="24"/>
        </w:rPr>
        <w:t xml:space="preserve"> </w:t>
      </w:r>
      <w:r w:rsidR="00BF17C1" w:rsidRPr="00BB3D52">
        <w:rPr>
          <w:rFonts w:cs="Times New Roman"/>
          <w:sz w:val="24"/>
          <w:szCs w:val="24"/>
        </w:rPr>
        <w:t>The ATM increased</w:t>
      </w:r>
      <w:r w:rsidR="00126500" w:rsidRPr="00BB3D52">
        <w:rPr>
          <w:rFonts w:cs="Times New Roman"/>
          <w:sz w:val="24"/>
          <w:szCs w:val="24"/>
        </w:rPr>
        <w:t xml:space="preserve"> by an</w:t>
      </w:r>
      <w:r w:rsidR="003C5762" w:rsidRPr="00BB3D52">
        <w:rPr>
          <w:rFonts w:cs="Times New Roman"/>
          <w:sz w:val="24"/>
          <w:szCs w:val="24"/>
        </w:rPr>
        <w:t xml:space="preserve"> </w:t>
      </w:r>
      <w:r w:rsidR="005720ED" w:rsidRPr="00BB3D52">
        <w:rPr>
          <w:rFonts w:cs="Times New Roman"/>
          <w:sz w:val="24"/>
          <w:szCs w:val="24"/>
        </w:rPr>
        <w:t>average</w:t>
      </w:r>
      <w:r w:rsidR="005C3BCD" w:rsidRPr="00BB3D52">
        <w:rPr>
          <w:rFonts w:cs="Times New Roman"/>
          <w:sz w:val="24"/>
          <w:szCs w:val="24"/>
        </w:rPr>
        <w:t xml:space="preserve"> of 5.8</w:t>
      </w:r>
      <w:r w:rsidR="00F45DAD" w:rsidRPr="00BB3D52">
        <w:rPr>
          <w:rFonts w:cs="Times New Roman"/>
          <w:sz w:val="24"/>
          <w:szCs w:val="24"/>
        </w:rPr>
        <w:t>%</w:t>
      </w:r>
      <w:r w:rsidR="003C5762" w:rsidRPr="00BB3D52">
        <w:rPr>
          <w:rFonts w:cs="Times New Roman"/>
          <w:sz w:val="24"/>
          <w:szCs w:val="24"/>
        </w:rPr>
        <w:t xml:space="preserve"> </w:t>
      </w:r>
      <w:r w:rsidR="005C3BCD" w:rsidRPr="00BB3D52">
        <w:rPr>
          <w:rFonts w:cs="Times New Roman"/>
          <w:sz w:val="24"/>
          <w:szCs w:val="24"/>
        </w:rPr>
        <w:t>from 2017 to 2021</w:t>
      </w:r>
      <w:r w:rsidR="00EB2D6E" w:rsidRPr="00BB3D52">
        <w:rPr>
          <w:rFonts w:cs="Times New Roman"/>
          <w:sz w:val="24"/>
          <w:szCs w:val="24"/>
        </w:rPr>
        <w:t>,</w:t>
      </w:r>
      <w:r w:rsidR="00BF17C1" w:rsidRPr="00BB3D52">
        <w:rPr>
          <w:rFonts w:cs="Times New Roman"/>
          <w:sz w:val="24"/>
          <w:szCs w:val="24"/>
        </w:rPr>
        <w:t xml:space="preserve"> </w:t>
      </w:r>
      <w:r w:rsidR="003C5762" w:rsidRPr="00BB3D52">
        <w:rPr>
          <w:rFonts w:cs="Times New Roman"/>
          <w:sz w:val="24"/>
          <w:szCs w:val="24"/>
        </w:rPr>
        <w:t>peaking</w:t>
      </w:r>
      <w:r w:rsidR="005C3BCD" w:rsidRPr="00BB3D52">
        <w:rPr>
          <w:rFonts w:cs="Times New Roman"/>
          <w:sz w:val="24"/>
          <w:szCs w:val="24"/>
        </w:rPr>
        <w:t xml:space="preserve"> in 2021</w:t>
      </w:r>
      <w:r w:rsidR="00FD22DD" w:rsidRPr="00BB3D52">
        <w:rPr>
          <w:rFonts w:cs="Times New Roman"/>
          <w:sz w:val="24"/>
          <w:szCs w:val="24"/>
        </w:rPr>
        <w:t>, trending towards</w:t>
      </w:r>
      <w:r w:rsidR="00EB2D6E" w:rsidRPr="00BB3D52">
        <w:rPr>
          <w:rFonts w:cs="Times New Roman"/>
          <w:sz w:val="24"/>
          <w:szCs w:val="24"/>
        </w:rPr>
        <w:t xml:space="preserve"> the </w:t>
      </w:r>
      <w:r w:rsidR="00DD5C0B">
        <w:rPr>
          <w:rFonts w:cs="Times New Roman"/>
          <w:sz w:val="24"/>
          <w:szCs w:val="24"/>
        </w:rPr>
        <w:t>GOSL</w:t>
      </w:r>
      <w:r w:rsidR="00EB2D6E" w:rsidRPr="00BB3D52">
        <w:rPr>
          <w:rFonts w:cs="Times New Roman"/>
          <w:sz w:val="24"/>
          <w:szCs w:val="24"/>
        </w:rPr>
        <w:t>'s target of increasing the ATM to over eight years.</w:t>
      </w:r>
      <w:r w:rsidR="0077467A" w:rsidRPr="00BB3D52">
        <w:rPr>
          <w:rFonts w:cs="Times New Roman"/>
          <w:sz w:val="24"/>
          <w:szCs w:val="24"/>
        </w:rPr>
        <w:t xml:space="preserve"> </w:t>
      </w:r>
      <w:r w:rsidRPr="00DF2A42">
        <w:rPr>
          <w:noProof/>
          <w:lang w:eastAsia="en-029"/>
        </w:rPr>
        <w:t xml:space="preserve"> </w:t>
      </w:r>
    </w:p>
    <w:p w14:paraId="42161DA3" w14:textId="77777777" w:rsidR="001F42E3" w:rsidRPr="00BB3D52" w:rsidRDefault="00365B1B" w:rsidP="00E0795E">
      <w:pPr>
        <w:pStyle w:val="Heading2"/>
        <w:spacing w:line="360" w:lineRule="auto"/>
        <w:rPr>
          <w:rFonts w:cs="Times New Roman"/>
          <w:sz w:val="24"/>
          <w:szCs w:val="24"/>
        </w:rPr>
      </w:pPr>
      <w:bookmarkStart w:id="116" w:name="_Toc102558937"/>
      <w:r>
        <w:rPr>
          <w:rFonts w:cs="Times New Roman"/>
          <w:sz w:val="24"/>
          <w:szCs w:val="24"/>
        </w:rPr>
        <w:t>7</w:t>
      </w:r>
      <w:r w:rsidR="001F0670" w:rsidRPr="00BB3D52">
        <w:rPr>
          <w:rFonts w:cs="Times New Roman"/>
          <w:sz w:val="24"/>
          <w:szCs w:val="24"/>
        </w:rPr>
        <w:t xml:space="preserve">.2 </w:t>
      </w:r>
      <w:r w:rsidR="0077467A" w:rsidRPr="00BB3D52">
        <w:rPr>
          <w:rFonts w:cs="Times New Roman"/>
          <w:sz w:val="24"/>
          <w:szCs w:val="24"/>
        </w:rPr>
        <w:t xml:space="preserve">The </w:t>
      </w:r>
      <w:r w:rsidR="003C5762" w:rsidRPr="00BB3D52">
        <w:rPr>
          <w:rFonts w:cs="Times New Roman"/>
          <w:sz w:val="24"/>
          <w:szCs w:val="24"/>
        </w:rPr>
        <w:t>A</w:t>
      </w:r>
      <w:r w:rsidR="0077467A" w:rsidRPr="00BB3D52">
        <w:rPr>
          <w:rFonts w:cs="Times New Roman"/>
          <w:sz w:val="24"/>
          <w:szCs w:val="24"/>
        </w:rPr>
        <w:t xml:space="preserve">verage </w:t>
      </w:r>
      <w:r w:rsidR="003C5762" w:rsidRPr="00BB3D52">
        <w:rPr>
          <w:rFonts w:cs="Times New Roman"/>
          <w:sz w:val="24"/>
          <w:szCs w:val="24"/>
        </w:rPr>
        <w:t>T</w:t>
      </w:r>
      <w:r w:rsidR="0077467A" w:rsidRPr="00BB3D52">
        <w:rPr>
          <w:rFonts w:cs="Times New Roman"/>
          <w:sz w:val="24"/>
          <w:szCs w:val="24"/>
        </w:rPr>
        <w:t xml:space="preserve">ime to </w:t>
      </w:r>
      <w:r w:rsidR="003C5762" w:rsidRPr="00BB3D52">
        <w:rPr>
          <w:rFonts w:cs="Times New Roman"/>
          <w:sz w:val="24"/>
          <w:szCs w:val="24"/>
        </w:rPr>
        <w:t>R</w:t>
      </w:r>
      <w:r w:rsidR="0077467A" w:rsidRPr="00BB3D52">
        <w:rPr>
          <w:rFonts w:cs="Times New Roman"/>
          <w:sz w:val="24"/>
          <w:szCs w:val="24"/>
        </w:rPr>
        <w:t>e-fixing</w:t>
      </w:r>
      <w:r w:rsidR="00640C57" w:rsidRPr="00BB3D52">
        <w:rPr>
          <w:rFonts w:cs="Times New Roman"/>
          <w:sz w:val="24"/>
          <w:szCs w:val="24"/>
        </w:rPr>
        <w:t xml:space="preserve"> (ATR)</w:t>
      </w:r>
      <w:bookmarkEnd w:id="116"/>
      <w:r w:rsidR="003C5762" w:rsidRPr="00BB3D52">
        <w:rPr>
          <w:rFonts w:cs="Times New Roman"/>
          <w:sz w:val="24"/>
          <w:szCs w:val="24"/>
        </w:rPr>
        <w:t xml:space="preserve"> </w:t>
      </w:r>
    </w:p>
    <w:p w14:paraId="657BC4BD" w14:textId="77777777" w:rsidR="001D5205" w:rsidRPr="00BB3D52" w:rsidRDefault="00365B1B" w:rsidP="00E0795E">
      <w:pPr>
        <w:spacing w:line="360" w:lineRule="auto"/>
        <w:jc w:val="both"/>
        <w:rPr>
          <w:rFonts w:cs="Times New Roman"/>
          <w:sz w:val="24"/>
          <w:szCs w:val="24"/>
        </w:rPr>
      </w:pPr>
      <w:r>
        <w:rPr>
          <w:noProof/>
          <w:lang w:val="en-US"/>
        </w:rPr>
        <mc:AlternateContent>
          <mc:Choice Requires="wps">
            <w:drawing>
              <wp:anchor distT="0" distB="0" distL="114300" distR="114300" simplePos="0" relativeHeight="251732992" behindDoc="0" locked="0" layoutInCell="1" allowOverlap="1" wp14:anchorId="2038C5C4" wp14:editId="3D07A34E">
                <wp:simplePos x="0" y="0"/>
                <wp:positionH relativeFrom="margin">
                  <wp:posOffset>3276600</wp:posOffset>
                </wp:positionH>
                <wp:positionV relativeFrom="paragraph">
                  <wp:posOffset>109855</wp:posOffset>
                </wp:positionV>
                <wp:extent cx="2066925" cy="123825"/>
                <wp:effectExtent l="0" t="0" r="9525" b="9525"/>
                <wp:wrapSquare wrapText="bothSides"/>
                <wp:docPr id="50" name="Text Box 50"/>
                <wp:cNvGraphicFramePr/>
                <a:graphic xmlns:a="http://schemas.openxmlformats.org/drawingml/2006/main">
                  <a:graphicData uri="http://schemas.microsoft.com/office/word/2010/wordprocessingShape">
                    <wps:wsp>
                      <wps:cNvSpPr txBox="1"/>
                      <wps:spPr>
                        <a:xfrm>
                          <a:off x="0" y="0"/>
                          <a:ext cx="2066925" cy="123825"/>
                        </a:xfrm>
                        <a:prstGeom prst="rect">
                          <a:avLst/>
                        </a:prstGeom>
                        <a:solidFill>
                          <a:prstClr val="white"/>
                        </a:solidFill>
                        <a:ln>
                          <a:noFill/>
                        </a:ln>
                        <a:effectLst/>
                      </wps:spPr>
                      <wps:txbx>
                        <w:txbxContent>
                          <w:p w14:paraId="77F2BC99" w14:textId="77777777" w:rsidR="005C750A" w:rsidRPr="0010713C" w:rsidRDefault="005C750A" w:rsidP="007976F6">
                            <w:bookmarkStart w:id="117" w:name="_Toc102560689"/>
                            <w:r w:rsidRPr="0010713C">
                              <w:t xml:space="preserve">Figure </w:t>
                            </w:r>
                            <w:r w:rsidR="002E1637">
                              <w:fldChar w:fldCharType="begin"/>
                            </w:r>
                            <w:r w:rsidR="002E1637">
                              <w:instrText xml:space="preserve"> SEQ Figure \* ARABIC </w:instrText>
                            </w:r>
                            <w:r w:rsidR="002E1637">
                              <w:fldChar w:fldCharType="separate"/>
                            </w:r>
                            <w:r>
                              <w:rPr>
                                <w:noProof/>
                              </w:rPr>
                              <w:t>21</w:t>
                            </w:r>
                            <w:r w:rsidR="002E1637">
                              <w:rPr>
                                <w:noProof/>
                              </w:rPr>
                              <w:fldChar w:fldCharType="end"/>
                            </w:r>
                            <w:r w:rsidRPr="0010713C">
                              <w:t>: ATM and ATR Progression 2017-2021</w:t>
                            </w:r>
                            <w:bookmarkEnd w:id="117"/>
                          </w:p>
                          <w:p w14:paraId="363A3776" w14:textId="77777777" w:rsidR="005C750A" w:rsidRPr="00353C50" w:rsidRDefault="005C750A" w:rsidP="00FF445F">
                            <w:pPr>
                              <w:pStyle w:val="Caption"/>
                              <w:rPr>
                                <w:rFonts w:cs="Times New Roman"/>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038C5C4" id="Text Box 50" o:spid="_x0000_s1051" type="#_x0000_t202" style="position:absolute;left:0;text-align:left;margin-left:258pt;margin-top:8.65pt;width:162.75pt;height:9.75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" stroked="f">
                <v:textbox inset="0,0,0,0">
                  <w:txbxContent>
                    <w:p w14:paraId="77F2BC99" w14:textId="77777777" w:rsidR="005C750A" w:rsidRPr="0010713C" w:rsidRDefault="005C750A" w:rsidP="007976F6">
                      <w:bookmarkStart w:id="158" w:name="_Toc102560689"/>
                      <w:r w:rsidRPr="0010713C">
                        <w:t xml:space="preserve">Figure </w:t>
                      </w:r>
                      <w:fldSimple w:instr=" SEQ Figure \* ARABIC ">
                        <w:r>
                          <w:rPr>
                            <w:noProof/>
                          </w:rPr>
                          <w:t>21</w:t>
                        </w:r>
                      </w:fldSimple>
                      <w:r w:rsidRPr="0010713C">
                        <w:t>: ATM and ATR Progression 2017-2021</w:t>
                      </w:r>
                      <w:bookmarkEnd w:id="158"/>
                    </w:p>
                    <w:p w14:paraId="363A3776" w14:textId="77777777" w:rsidR="005C750A" w:rsidRPr="00353C50" w:rsidRDefault="005C750A" w:rsidP="00FF445F">
                      <w:pPr>
                        <w:pStyle w:val="Caption"/>
                        <w:rPr>
                          <w:rFonts w:cs="Times New Roman"/>
                          <w:sz w:val="24"/>
                          <w:szCs w:val="24"/>
                        </w:rPr>
                      </w:pPr>
                    </w:p>
                  </w:txbxContent>
                </v:textbox>
                <w10:wrap type="square" anchorx="margin"/>
              </v:shape>
            </w:pict>
          </mc:Fallback>
        </mc:AlternateContent>
      </w:r>
      <w:r w:rsidR="00C40ECD" w:rsidRPr="00BB3D52">
        <w:rPr>
          <w:rFonts w:cs="Times New Roman"/>
          <w:sz w:val="24"/>
          <w:szCs w:val="24"/>
        </w:rPr>
        <w:t>The ATR measures the weighted average time until all principal payments in the debt portfolio become subject to a new interes</w:t>
      </w:r>
      <w:r w:rsidR="00216DBC" w:rsidRPr="00BB3D52">
        <w:rPr>
          <w:rFonts w:cs="Times New Roman"/>
          <w:sz w:val="24"/>
          <w:szCs w:val="24"/>
        </w:rPr>
        <w:t xml:space="preserve">t rate. The ATR increased to 6.1 years in 2021 from 5.6 years at </w:t>
      </w:r>
      <w:r w:rsidR="00DF2A42">
        <w:rPr>
          <w:noProof/>
          <w:lang w:val="en-US"/>
        </w:rPr>
        <w:drawing>
          <wp:anchor distT="0" distB="0" distL="114300" distR="114300" simplePos="0" relativeHeight="251675648" behindDoc="0" locked="0" layoutInCell="1" allowOverlap="1" wp14:anchorId="6910BC87" wp14:editId="421D750A">
            <wp:simplePos x="0" y="0"/>
            <wp:positionH relativeFrom="margin">
              <wp:align>right</wp:align>
            </wp:positionH>
            <wp:positionV relativeFrom="paragraph">
              <wp:posOffset>0</wp:posOffset>
            </wp:positionV>
            <wp:extent cx="3291840" cy="1920240"/>
            <wp:effectExtent l="0" t="0" r="0" b="0"/>
            <wp:wrapSquare wrapText="bothSides"/>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r w:rsidR="00216DBC" w:rsidRPr="00BB3D52">
        <w:rPr>
          <w:rFonts w:cs="Times New Roman"/>
          <w:sz w:val="24"/>
          <w:szCs w:val="24"/>
        </w:rPr>
        <w:t>the end of 2020</w:t>
      </w:r>
      <w:r w:rsidR="008C044A" w:rsidRPr="00BB3D52">
        <w:rPr>
          <w:rFonts w:cs="Times New Roman"/>
          <w:sz w:val="24"/>
          <w:szCs w:val="24"/>
        </w:rPr>
        <w:t xml:space="preserve">, a </w:t>
      </w:r>
      <w:r w:rsidR="00216DBC" w:rsidRPr="00BB3D52">
        <w:rPr>
          <w:rFonts w:cs="Times New Roman"/>
          <w:sz w:val="24"/>
          <w:szCs w:val="24"/>
        </w:rPr>
        <w:t>9.2</w:t>
      </w:r>
      <w:r w:rsidR="00C40ECD" w:rsidRPr="00BB3D52">
        <w:rPr>
          <w:rFonts w:cs="Times New Roman"/>
          <w:sz w:val="24"/>
          <w:szCs w:val="24"/>
        </w:rPr>
        <w:t>% increase.</w:t>
      </w:r>
      <w:r w:rsidR="00C40ECD" w:rsidRPr="00BB3D52">
        <w:rPr>
          <w:rFonts w:cs="Times New Roman"/>
          <w:color w:val="FF0000"/>
          <w:sz w:val="24"/>
          <w:szCs w:val="24"/>
        </w:rPr>
        <w:t xml:space="preserve"> </w:t>
      </w:r>
      <w:r w:rsidR="00C40ECD" w:rsidRPr="00BB3D52">
        <w:rPr>
          <w:rFonts w:cs="Times New Roman"/>
          <w:sz w:val="24"/>
          <w:szCs w:val="24"/>
        </w:rPr>
        <w:t xml:space="preserve">The </w:t>
      </w:r>
      <w:r w:rsidR="00DD5C0B">
        <w:rPr>
          <w:rFonts w:cs="Times New Roman"/>
          <w:sz w:val="24"/>
          <w:szCs w:val="24"/>
        </w:rPr>
        <w:t>GOSL</w:t>
      </w:r>
      <w:r w:rsidR="00C40ECD" w:rsidRPr="00BB3D52">
        <w:rPr>
          <w:rFonts w:cs="Times New Roman"/>
          <w:sz w:val="24"/>
          <w:szCs w:val="24"/>
        </w:rPr>
        <w:t xml:space="preserve"> is also committed to decreasing the refinancing risk of the portfolio by increasing </w:t>
      </w:r>
      <w:r w:rsidR="008C044A" w:rsidRPr="00BB3D52">
        <w:rPr>
          <w:rFonts w:cs="Times New Roman"/>
          <w:sz w:val="24"/>
          <w:szCs w:val="24"/>
        </w:rPr>
        <w:t>the ATR. The ATR averaged 5.2 years from 2017</w:t>
      </w:r>
      <w:r w:rsidR="00C40ECD" w:rsidRPr="00BB3D52">
        <w:rPr>
          <w:rFonts w:cs="Times New Roman"/>
          <w:sz w:val="24"/>
          <w:szCs w:val="24"/>
        </w:rPr>
        <w:t xml:space="preserve"> to 2</w:t>
      </w:r>
      <w:r w:rsidR="008C044A" w:rsidRPr="00BB3D52">
        <w:rPr>
          <w:rFonts w:cs="Times New Roman"/>
          <w:sz w:val="24"/>
          <w:szCs w:val="24"/>
        </w:rPr>
        <w:t>021</w:t>
      </w:r>
      <w:r w:rsidR="00FD22DD" w:rsidRPr="00BB3D52">
        <w:rPr>
          <w:rFonts w:cs="Times New Roman"/>
          <w:sz w:val="24"/>
          <w:szCs w:val="24"/>
        </w:rPr>
        <w:t xml:space="preserve"> an</w:t>
      </w:r>
      <w:r w:rsidR="008C044A" w:rsidRPr="00BB3D52">
        <w:rPr>
          <w:rFonts w:cs="Times New Roman"/>
          <w:sz w:val="24"/>
          <w:szCs w:val="24"/>
        </w:rPr>
        <w:t>d increased by an average of 7.5</w:t>
      </w:r>
      <w:r w:rsidR="00C40ECD" w:rsidRPr="00BB3D52">
        <w:rPr>
          <w:rFonts w:cs="Times New Roman"/>
          <w:sz w:val="24"/>
          <w:szCs w:val="24"/>
        </w:rPr>
        <w:t>% over the p</w:t>
      </w:r>
      <w:r w:rsidR="00EB3123" w:rsidRPr="00BB3D52">
        <w:rPr>
          <w:rFonts w:cs="Times New Roman"/>
          <w:sz w:val="24"/>
          <w:szCs w:val="24"/>
        </w:rPr>
        <w:t xml:space="preserve">revious five years. The </w:t>
      </w:r>
      <w:r w:rsidR="00DD5C0B">
        <w:rPr>
          <w:rFonts w:cs="Times New Roman"/>
          <w:sz w:val="24"/>
          <w:szCs w:val="24"/>
        </w:rPr>
        <w:t>GOSL</w:t>
      </w:r>
      <w:r w:rsidR="00EB3123" w:rsidRPr="00BB3D52">
        <w:rPr>
          <w:rFonts w:cs="Times New Roman"/>
          <w:sz w:val="24"/>
          <w:szCs w:val="24"/>
        </w:rPr>
        <w:t xml:space="preserve"> is on track to attain its target of increasing the ATR to over eight y</w:t>
      </w:r>
      <w:r w:rsidR="00C40ECD" w:rsidRPr="00BB3D52">
        <w:rPr>
          <w:rFonts w:cs="Times New Roman"/>
          <w:sz w:val="24"/>
          <w:szCs w:val="24"/>
        </w:rPr>
        <w:t xml:space="preserve">ears. </w:t>
      </w:r>
      <w:r w:rsidR="00DF2A42">
        <w:rPr>
          <w:rFonts w:cs="Times New Roman"/>
          <w:sz w:val="24"/>
          <w:szCs w:val="24"/>
        </w:rPr>
        <w:t>(</w:t>
      </w:r>
      <w:r w:rsidR="00392EA2">
        <w:rPr>
          <w:rFonts w:cs="Times New Roman"/>
          <w:sz w:val="24"/>
          <w:szCs w:val="24"/>
        </w:rPr>
        <w:t>Figure</w:t>
      </w:r>
      <w:r w:rsidR="00DF2A42">
        <w:rPr>
          <w:rFonts w:cs="Times New Roman"/>
          <w:sz w:val="24"/>
          <w:szCs w:val="24"/>
        </w:rPr>
        <w:t xml:space="preserve"> 21</w:t>
      </w:r>
      <w:r w:rsidR="00455B7C">
        <w:rPr>
          <w:rFonts w:cs="Times New Roman"/>
          <w:sz w:val="24"/>
          <w:szCs w:val="24"/>
        </w:rPr>
        <w:t>)</w:t>
      </w:r>
    </w:p>
    <w:p w14:paraId="58376E49" w14:textId="77777777" w:rsidR="001F42E3" w:rsidRPr="00BB3D52" w:rsidRDefault="00365B1B" w:rsidP="00E0795E">
      <w:pPr>
        <w:pStyle w:val="Heading2"/>
        <w:spacing w:line="360" w:lineRule="auto"/>
        <w:rPr>
          <w:rFonts w:cs="Times New Roman"/>
          <w:sz w:val="24"/>
          <w:szCs w:val="24"/>
        </w:rPr>
      </w:pPr>
      <w:bookmarkStart w:id="118" w:name="_Toc102558938"/>
      <w:r>
        <w:rPr>
          <w:rFonts w:cs="Times New Roman"/>
          <w:sz w:val="24"/>
          <w:szCs w:val="24"/>
        </w:rPr>
        <w:t>7</w:t>
      </w:r>
      <w:r w:rsidR="001F0670" w:rsidRPr="00BB3D52">
        <w:rPr>
          <w:rFonts w:cs="Times New Roman"/>
          <w:sz w:val="24"/>
          <w:szCs w:val="24"/>
        </w:rPr>
        <w:t xml:space="preserve">.3 </w:t>
      </w:r>
      <w:r w:rsidR="003C5762" w:rsidRPr="00BB3D52">
        <w:rPr>
          <w:rFonts w:cs="Times New Roman"/>
          <w:sz w:val="24"/>
          <w:szCs w:val="24"/>
        </w:rPr>
        <w:t>The W</w:t>
      </w:r>
      <w:r w:rsidR="003A2360" w:rsidRPr="00BB3D52">
        <w:rPr>
          <w:rFonts w:cs="Times New Roman"/>
          <w:sz w:val="24"/>
          <w:szCs w:val="24"/>
        </w:rPr>
        <w:t xml:space="preserve">eighted </w:t>
      </w:r>
      <w:r w:rsidR="003C5762" w:rsidRPr="00BB3D52">
        <w:rPr>
          <w:rFonts w:cs="Times New Roman"/>
          <w:sz w:val="24"/>
          <w:szCs w:val="24"/>
        </w:rPr>
        <w:t>A</w:t>
      </w:r>
      <w:r w:rsidR="003A2360" w:rsidRPr="00BB3D52">
        <w:rPr>
          <w:rFonts w:cs="Times New Roman"/>
          <w:sz w:val="24"/>
          <w:szCs w:val="24"/>
        </w:rPr>
        <w:t xml:space="preserve">verage </w:t>
      </w:r>
      <w:r w:rsidR="003C5762" w:rsidRPr="00BB3D52">
        <w:rPr>
          <w:rFonts w:cs="Times New Roman"/>
          <w:sz w:val="24"/>
          <w:szCs w:val="24"/>
        </w:rPr>
        <w:t>C</w:t>
      </w:r>
      <w:r w:rsidR="003A2360" w:rsidRPr="00BB3D52">
        <w:rPr>
          <w:rFonts w:cs="Times New Roman"/>
          <w:sz w:val="24"/>
          <w:szCs w:val="24"/>
        </w:rPr>
        <w:t xml:space="preserve">ost of </w:t>
      </w:r>
      <w:r w:rsidR="003C5762" w:rsidRPr="00BB3D52">
        <w:rPr>
          <w:rFonts w:cs="Times New Roman"/>
          <w:sz w:val="24"/>
          <w:szCs w:val="24"/>
        </w:rPr>
        <w:t>D</w:t>
      </w:r>
      <w:r w:rsidR="003A2360" w:rsidRPr="00BB3D52">
        <w:rPr>
          <w:rFonts w:cs="Times New Roman"/>
          <w:sz w:val="24"/>
          <w:szCs w:val="24"/>
        </w:rPr>
        <w:t>ebt</w:t>
      </w:r>
      <w:r w:rsidR="001F0670" w:rsidRPr="00BB3D52">
        <w:rPr>
          <w:rFonts w:cs="Times New Roman"/>
          <w:sz w:val="24"/>
          <w:szCs w:val="24"/>
        </w:rPr>
        <w:t xml:space="preserve"> </w:t>
      </w:r>
      <w:r w:rsidR="00364A86">
        <w:rPr>
          <w:rFonts w:cs="Times New Roman"/>
          <w:sz w:val="24"/>
          <w:szCs w:val="24"/>
        </w:rPr>
        <w:t>(WACD)</w:t>
      </w:r>
      <w:bookmarkEnd w:id="118"/>
    </w:p>
    <w:p w14:paraId="618EC860" w14:textId="07F0E704" w:rsidR="00282F39" w:rsidRDefault="00D261AF" w:rsidP="00E718D0">
      <w:pPr>
        <w:spacing w:line="360" w:lineRule="auto"/>
        <w:jc w:val="both"/>
        <w:rPr>
          <w:rFonts w:cs="Times New Roman"/>
          <w:sz w:val="24"/>
          <w:szCs w:val="24"/>
        </w:rPr>
      </w:pPr>
      <w:r>
        <w:rPr>
          <w:rFonts w:cs="Times New Roman"/>
          <w:sz w:val="24"/>
          <w:szCs w:val="24"/>
        </w:rPr>
        <w:t>I</w:t>
      </w:r>
      <w:r w:rsidR="00365B1B" w:rsidRPr="00DF2A42">
        <w:rPr>
          <w:rFonts w:cs="Times New Roman"/>
          <w:sz w:val="24"/>
          <w:szCs w:val="24"/>
        </w:rPr>
        <w:t>nterest costs</w:t>
      </w:r>
      <w:r>
        <w:rPr>
          <w:rFonts w:cs="Times New Roman"/>
          <w:sz w:val="24"/>
          <w:szCs w:val="24"/>
        </w:rPr>
        <w:t xml:space="preserve"> have reduced due to a drop in the average interest rates on loans especially the </w:t>
      </w:r>
      <w:r w:rsidRPr="00D261AF">
        <w:rPr>
          <w:rFonts w:ascii="Goudy Old Style" w:hAnsi="Goudy Old Style" w:cs="Goudy Old Style"/>
          <w:sz w:val="22"/>
        </w:rPr>
        <w:t>LIBOR on ROCT bi-lateral loans and the OCR variable rate on CDB loans</w:t>
      </w:r>
      <w:r w:rsidR="00365B1B" w:rsidRPr="00DF2A42">
        <w:rPr>
          <w:rFonts w:cs="Times New Roman"/>
          <w:sz w:val="24"/>
          <w:szCs w:val="24"/>
        </w:rPr>
        <w:t xml:space="preserve">. </w:t>
      </w:r>
      <w:r w:rsidR="00365B1B" w:rsidRPr="00BB3D52">
        <w:rPr>
          <w:rFonts w:cs="Times New Roman"/>
          <w:sz w:val="24"/>
          <w:szCs w:val="24"/>
        </w:rPr>
        <w:t>The</w:t>
      </w:r>
      <w:r w:rsidR="002C7180" w:rsidRPr="00BB3D52">
        <w:rPr>
          <w:rFonts w:cs="Times New Roman"/>
          <w:sz w:val="24"/>
          <w:szCs w:val="24"/>
        </w:rPr>
        <w:t xml:space="preserve"> portfolio’s</w:t>
      </w:r>
      <w:r w:rsidR="00365B1B" w:rsidRPr="00BB3D52">
        <w:rPr>
          <w:rFonts w:cs="Times New Roman"/>
          <w:sz w:val="24"/>
          <w:szCs w:val="24"/>
        </w:rPr>
        <w:t xml:space="preserve"> weight</w:t>
      </w:r>
      <w:r w:rsidR="00110757" w:rsidRPr="00BB3D52">
        <w:rPr>
          <w:rFonts w:cs="Times New Roman"/>
          <w:sz w:val="24"/>
          <w:szCs w:val="24"/>
        </w:rPr>
        <w:t>ed cost of debt declined from</w:t>
      </w:r>
      <w:r w:rsidR="00365B1B">
        <w:rPr>
          <w:rFonts w:cs="Times New Roman"/>
          <w:sz w:val="24"/>
          <w:szCs w:val="24"/>
        </w:rPr>
        <w:t xml:space="preserve"> 4.8</w:t>
      </w:r>
      <w:r w:rsidR="00BB069B" w:rsidRPr="00BB3D52">
        <w:rPr>
          <w:rFonts w:cs="Times New Roman"/>
          <w:sz w:val="24"/>
          <w:szCs w:val="24"/>
        </w:rPr>
        <w:t>% in 2020 to 4.5</w:t>
      </w:r>
      <w:r w:rsidR="00365B1B" w:rsidRPr="00BB3D52">
        <w:rPr>
          <w:rFonts w:cs="Times New Roman"/>
          <w:sz w:val="24"/>
          <w:szCs w:val="24"/>
        </w:rPr>
        <w:t>%</w:t>
      </w:r>
      <w:r w:rsidR="00BB069B" w:rsidRPr="00BB3D52">
        <w:rPr>
          <w:rFonts w:cs="Times New Roman"/>
          <w:sz w:val="24"/>
          <w:szCs w:val="24"/>
        </w:rPr>
        <w:t xml:space="preserve"> in 2021</w:t>
      </w:r>
      <w:r w:rsidR="00FD22DD" w:rsidRPr="00BB3D52">
        <w:rPr>
          <w:rFonts w:cs="Times New Roman"/>
          <w:sz w:val="24"/>
          <w:szCs w:val="24"/>
        </w:rPr>
        <w:t xml:space="preserve">. </w:t>
      </w:r>
      <w:r w:rsidR="00BB069B" w:rsidRPr="00BB3D52">
        <w:rPr>
          <w:rFonts w:cs="Times New Roman"/>
          <w:sz w:val="24"/>
          <w:szCs w:val="24"/>
        </w:rPr>
        <w:t>The WACD averaged 5.0</w:t>
      </w:r>
      <w:r w:rsidR="00307FBA" w:rsidRPr="00BB3D52">
        <w:rPr>
          <w:rFonts w:cs="Times New Roman"/>
          <w:sz w:val="24"/>
          <w:szCs w:val="24"/>
        </w:rPr>
        <w:t xml:space="preserve">% over the </w:t>
      </w:r>
      <w:r w:rsidR="00365B1B" w:rsidRPr="00BB3D52">
        <w:rPr>
          <w:rFonts w:cs="Times New Roman"/>
          <w:sz w:val="24"/>
          <w:szCs w:val="24"/>
        </w:rPr>
        <w:t>previous fi</w:t>
      </w:r>
      <w:r w:rsidR="00307FBA" w:rsidRPr="00BB3D52">
        <w:rPr>
          <w:rFonts w:cs="Times New Roman"/>
          <w:sz w:val="24"/>
          <w:szCs w:val="24"/>
        </w:rPr>
        <w:t>ve years peaking</w:t>
      </w:r>
      <w:r w:rsidR="00BB069B" w:rsidRPr="00BB3D52">
        <w:rPr>
          <w:rFonts w:cs="Times New Roman"/>
          <w:sz w:val="24"/>
          <w:szCs w:val="24"/>
        </w:rPr>
        <w:t xml:space="preserve"> in 2017</w:t>
      </w:r>
      <w:r w:rsidR="00FD22DD" w:rsidRPr="00BB3D52">
        <w:rPr>
          <w:rFonts w:cs="Times New Roman"/>
          <w:sz w:val="24"/>
          <w:szCs w:val="24"/>
        </w:rPr>
        <w:t xml:space="preserve"> at 5.3</w:t>
      </w:r>
      <w:r w:rsidR="00365B1B" w:rsidRPr="00BB3D52">
        <w:rPr>
          <w:rFonts w:cs="Times New Roman"/>
          <w:sz w:val="24"/>
          <w:szCs w:val="24"/>
        </w:rPr>
        <w:t>%.</w:t>
      </w:r>
      <w:r w:rsidR="00365B1B" w:rsidRPr="00BB3D52">
        <w:rPr>
          <w:rFonts w:cs="Times New Roman"/>
          <w:color w:val="FF0000"/>
          <w:sz w:val="24"/>
          <w:szCs w:val="24"/>
        </w:rPr>
        <w:t xml:space="preserve"> </w:t>
      </w:r>
      <w:r w:rsidR="00B857C7" w:rsidRPr="00BB3D52">
        <w:rPr>
          <w:rFonts w:cs="Times New Roman"/>
          <w:sz w:val="24"/>
          <w:szCs w:val="24"/>
        </w:rPr>
        <w:t>T</w:t>
      </w:r>
      <w:r w:rsidR="00365B1B" w:rsidRPr="00BB3D52">
        <w:rPr>
          <w:rFonts w:cs="Times New Roman"/>
          <w:sz w:val="24"/>
          <w:szCs w:val="24"/>
        </w:rPr>
        <w:t xml:space="preserve">he WACD </w:t>
      </w:r>
      <w:r w:rsidR="00B857C7" w:rsidRPr="00BB3D52">
        <w:rPr>
          <w:rFonts w:cs="Times New Roman"/>
          <w:sz w:val="24"/>
          <w:szCs w:val="24"/>
        </w:rPr>
        <w:t>h</w:t>
      </w:r>
      <w:r w:rsidR="00BB069B" w:rsidRPr="00BB3D52">
        <w:rPr>
          <w:rFonts w:cs="Times New Roman"/>
          <w:sz w:val="24"/>
          <w:szCs w:val="24"/>
        </w:rPr>
        <w:t>as declined by an average of 3.8</w:t>
      </w:r>
      <w:r w:rsidR="00B857C7" w:rsidRPr="00BB3D52">
        <w:rPr>
          <w:rFonts w:cs="Times New Roman"/>
          <w:sz w:val="24"/>
          <w:szCs w:val="24"/>
        </w:rPr>
        <w:t xml:space="preserve">% over </w:t>
      </w:r>
      <w:r w:rsidR="00365B1B" w:rsidRPr="00BB3D52">
        <w:rPr>
          <w:rFonts w:cs="Times New Roman"/>
          <w:sz w:val="24"/>
          <w:szCs w:val="24"/>
        </w:rPr>
        <w:t>the five previous years.</w:t>
      </w:r>
      <w:r w:rsidR="00FA4889" w:rsidRPr="00BB3D52">
        <w:rPr>
          <w:rFonts w:cs="Times New Roman"/>
          <w:sz w:val="24"/>
          <w:szCs w:val="24"/>
        </w:rPr>
        <w:t xml:space="preserve"> (Table 1)</w:t>
      </w:r>
    </w:p>
    <w:p w14:paraId="3DA9ED42" w14:textId="77777777" w:rsidR="006F1273" w:rsidRDefault="006F1273" w:rsidP="00E718D0">
      <w:pPr>
        <w:spacing w:line="360" w:lineRule="auto"/>
        <w:jc w:val="both"/>
        <w:rPr>
          <w:rFonts w:cs="Times New Roman"/>
          <w:sz w:val="24"/>
          <w:szCs w:val="24"/>
        </w:rPr>
      </w:pPr>
    </w:p>
    <w:p w14:paraId="3AFFC369" w14:textId="77777777" w:rsidR="006F1273" w:rsidRDefault="006F1273" w:rsidP="00E718D0">
      <w:pPr>
        <w:spacing w:line="360" w:lineRule="auto"/>
        <w:jc w:val="both"/>
        <w:rPr>
          <w:rFonts w:cs="Times New Roman"/>
          <w:sz w:val="24"/>
          <w:szCs w:val="24"/>
        </w:rPr>
      </w:pPr>
    </w:p>
    <w:p w14:paraId="00F86319" w14:textId="77777777" w:rsidR="006F1273" w:rsidRDefault="006F1273" w:rsidP="00E718D0">
      <w:pPr>
        <w:spacing w:line="360" w:lineRule="auto"/>
        <w:jc w:val="both"/>
        <w:rPr>
          <w:rFonts w:cs="Times New Roman"/>
          <w:sz w:val="24"/>
          <w:szCs w:val="24"/>
        </w:rPr>
      </w:pPr>
    </w:p>
    <w:p w14:paraId="53FE624A" w14:textId="77777777" w:rsidR="006F1273" w:rsidRDefault="006F1273" w:rsidP="00E718D0">
      <w:pPr>
        <w:spacing w:line="360" w:lineRule="auto"/>
        <w:jc w:val="both"/>
        <w:rPr>
          <w:rFonts w:cs="Times New Roman"/>
          <w:sz w:val="24"/>
          <w:szCs w:val="24"/>
        </w:rPr>
      </w:pPr>
    </w:p>
    <w:p w14:paraId="610D912A" w14:textId="77777777" w:rsidR="006F1273" w:rsidRPr="00E718D0" w:rsidRDefault="006F1273" w:rsidP="00E718D0">
      <w:pPr>
        <w:spacing w:line="360" w:lineRule="auto"/>
        <w:jc w:val="both"/>
        <w:rPr>
          <w:rFonts w:cs="Times New Roman"/>
          <w:sz w:val="24"/>
          <w:szCs w:val="24"/>
        </w:rPr>
      </w:pPr>
    </w:p>
    <w:p w14:paraId="6086ED38" w14:textId="77777777" w:rsidR="00843D81" w:rsidRPr="00843D81" w:rsidRDefault="00365B1B" w:rsidP="007976F6">
      <w:bookmarkStart w:id="119" w:name="_Toc102560587"/>
      <w:r w:rsidRPr="00843D81">
        <w:t xml:space="preserve">Table </w:t>
      </w:r>
      <w:r w:rsidR="002E1637">
        <w:fldChar w:fldCharType="begin"/>
      </w:r>
      <w:r w:rsidR="002E1637">
        <w:instrText xml:space="preserve"> SEQ Table \* ARABIC </w:instrText>
      </w:r>
      <w:r w:rsidR="002E1637">
        <w:fldChar w:fldCharType="separate"/>
      </w:r>
      <w:r w:rsidR="00BC73C8">
        <w:rPr>
          <w:noProof/>
        </w:rPr>
        <w:t>1</w:t>
      </w:r>
      <w:r w:rsidR="002E1637">
        <w:rPr>
          <w:noProof/>
        </w:rPr>
        <w:fldChar w:fldCharType="end"/>
      </w:r>
      <w:r w:rsidRPr="00843D81">
        <w:rPr>
          <w:lang w:eastAsia="en-029"/>
        </w:rPr>
        <w:t xml:space="preserve"> Weighted Average Cost of Debt 2017-2021</w:t>
      </w:r>
      <w:bookmarkEnd w:id="119"/>
    </w:p>
    <w:tbl>
      <w:tblPr>
        <w:tblStyle w:val="GridTable4-Accent1"/>
        <w:tblW w:w="5000" w:type="pct"/>
        <w:tblLook w:val="04A0" w:firstRow="1" w:lastRow="0" w:firstColumn="1" w:lastColumn="0" w:noHBand="0" w:noVBand="1"/>
      </w:tblPr>
      <w:tblGrid>
        <w:gridCol w:w="4061"/>
        <w:gridCol w:w="1053"/>
        <w:gridCol w:w="1051"/>
        <w:gridCol w:w="1051"/>
        <w:gridCol w:w="1051"/>
        <w:gridCol w:w="1083"/>
      </w:tblGrid>
      <w:tr w:rsidR="00D11502" w:rsidRPr="00F23B1D" w14:paraId="5604B3EC" w14:textId="77777777" w:rsidTr="00F23B1D">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00" w:type="pct"/>
            <w:gridSpan w:val="6"/>
            <w:noWrap/>
            <w:hideMark/>
          </w:tcPr>
          <w:p w14:paraId="33476BF0" w14:textId="77777777" w:rsidR="00DF2A42" w:rsidRPr="00F23B1D" w:rsidRDefault="00DF2A42" w:rsidP="00E0795E">
            <w:pPr>
              <w:spacing w:line="360" w:lineRule="auto"/>
              <w:jc w:val="center"/>
              <w:rPr>
                <w:rFonts w:eastAsia="Times New Roman" w:cs="Times New Roman"/>
                <w:iCs/>
                <w:szCs w:val="16"/>
                <w:lang w:eastAsia="en-029"/>
              </w:rPr>
            </w:pPr>
          </w:p>
        </w:tc>
      </w:tr>
      <w:tr w:rsidR="00D11502" w:rsidRPr="00F23B1D" w14:paraId="3C53E6FB" w14:textId="77777777" w:rsidTr="00F23B1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72" w:type="pct"/>
            <w:hideMark/>
          </w:tcPr>
          <w:p w14:paraId="0D77477E" w14:textId="77777777" w:rsidR="00DF2A42" w:rsidRPr="00F23B1D" w:rsidRDefault="00365B1B" w:rsidP="00E0795E">
            <w:pPr>
              <w:spacing w:line="360" w:lineRule="auto"/>
              <w:jc w:val="center"/>
              <w:rPr>
                <w:rFonts w:eastAsia="Times New Roman" w:cs="Times New Roman"/>
                <w:iCs/>
                <w:color w:val="000000"/>
                <w:szCs w:val="16"/>
                <w:lang w:eastAsia="en-029"/>
              </w:rPr>
            </w:pPr>
            <w:r w:rsidRPr="00F23B1D">
              <w:rPr>
                <w:rFonts w:eastAsia="Times New Roman" w:cs="Times New Roman"/>
                <w:iCs/>
                <w:color w:val="000000"/>
                <w:szCs w:val="16"/>
                <w:lang w:eastAsia="en-029"/>
              </w:rPr>
              <w:t>WACD by Instrument</w:t>
            </w:r>
          </w:p>
        </w:tc>
        <w:tc>
          <w:tcPr>
            <w:tcW w:w="563" w:type="pct"/>
            <w:noWrap/>
            <w:hideMark/>
          </w:tcPr>
          <w:p w14:paraId="33FE6FAF" w14:textId="77777777" w:rsidR="00DF2A42" w:rsidRPr="00F23B1D" w:rsidRDefault="00365B1B" w:rsidP="00E0795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iCs/>
                <w:color w:val="000000"/>
                <w:szCs w:val="16"/>
                <w:lang w:eastAsia="en-029"/>
              </w:rPr>
            </w:pPr>
            <w:r w:rsidRPr="00F23B1D">
              <w:rPr>
                <w:rFonts w:eastAsia="Times New Roman" w:cs="Times New Roman"/>
                <w:b/>
                <w:bCs/>
                <w:iCs/>
                <w:color w:val="000000"/>
                <w:szCs w:val="16"/>
                <w:lang w:eastAsia="en-029"/>
              </w:rPr>
              <w:t>2017</w:t>
            </w:r>
          </w:p>
        </w:tc>
        <w:tc>
          <w:tcPr>
            <w:tcW w:w="562" w:type="pct"/>
            <w:noWrap/>
            <w:hideMark/>
          </w:tcPr>
          <w:p w14:paraId="430F6E48" w14:textId="77777777" w:rsidR="00DF2A42" w:rsidRPr="00F23B1D" w:rsidRDefault="00365B1B" w:rsidP="00E0795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iCs/>
                <w:color w:val="000000"/>
                <w:szCs w:val="16"/>
                <w:lang w:eastAsia="en-029"/>
              </w:rPr>
            </w:pPr>
            <w:r w:rsidRPr="00F23B1D">
              <w:rPr>
                <w:rFonts w:eastAsia="Times New Roman" w:cs="Times New Roman"/>
                <w:b/>
                <w:bCs/>
                <w:iCs/>
                <w:color w:val="000000"/>
                <w:szCs w:val="16"/>
                <w:lang w:eastAsia="en-029"/>
              </w:rPr>
              <w:t>2018</w:t>
            </w:r>
          </w:p>
        </w:tc>
        <w:tc>
          <w:tcPr>
            <w:tcW w:w="562" w:type="pct"/>
            <w:noWrap/>
            <w:hideMark/>
          </w:tcPr>
          <w:p w14:paraId="4206949A" w14:textId="77777777" w:rsidR="00DF2A42" w:rsidRPr="00F23B1D" w:rsidRDefault="00365B1B" w:rsidP="00E0795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iCs/>
                <w:color w:val="000000"/>
                <w:szCs w:val="16"/>
                <w:lang w:eastAsia="en-029"/>
              </w:rPr>
            </w:pPr>
            <w:r w:rsidRPr="00F23B1D">
              <w:rPr>
                <w:rFonts w:eastAsia="Times New Roman" w:cs="Times New Roman"/>
                <w:b/>
                <w:bCs/>
                <w:iCs/>
                <w:color w:val="000000"/>
                <w:szCs w:val="16"/>
                <w:lang w:eastAsia="en-029"/>
              </w:rPr>
              <w:t>2019</w:t>
            </w:r>
          </w:p>
        </w:tc>
        <w:tc>
          <w:tcPr>
            <w:tcW w:w="562" w:type="pct"/>
            <w:noWrap/>
            <w:hideMark/>
          </w:tcPr>
          <w:p w14:paraId="117FA6A0" w14:textId="77777777" w:rsidR="00DF2A42" w:rsidRPr="00F23B1D" w:rsidRDefault="00365B1B" w:rsidP="00E0795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iCs/>
                <w:color w:val="000000"/>
                <w:szCs w:val="16"/>
                <w:lang w:eastAsia="en-029"/>
              </w:rPr>
            </w:pPr>
            <w:r w:rsidRPr="00F23B1D">
              <w:rPr>
                <w:rFonts w:eastAsia="Times New Roman" w:cs="Times New Roman"/>
                <w:b/>
                <w:bCs/>
                <w:iCs/>
                <w:color w:val="000000"/>
                <w:szCs w:val="16"/>
                <w:lang w:eastAsia="en-029"/>
              </w:rPr>
              <w:t>2020</w:t>
            </w:r>
          </w:p>
        </w:tc>
        <w:tc>
          <w:tcPr>
            <w:tcW w:w="579" w:type="pct"/>
            <w:noWrap/>
            <w:hideMark/>
          </w:tcPr>
          <w:p w14:paraId="6927F0F5" w14:textId="77777777" w:rsidR="00DF2A42" w:rsidRPr="00F23B1D" w:rsidRDefault="00365B1B" w:rsidP="00E0795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iCs/>
                <w:color w:val="000000"/>
                <w:szCs w:val="16"/>
                <w:lang w:eastAsia="en-029"/>
              </w:rPr>
            </w:pPr>
            <w:r w:rsidRPr="00F23B1D">
              <w:rPr>
                <w:rFonts w:eastAsia="Times New Roman" w:cs="Times New Roman"/>
                <w:b/>
                <w:bCs/>
                <w:iCs/>
                <w:color w:val="000000"/>
                <w:szCs w:val="16"/>
                <w:lang w:eastAsia="en-029"/>
              </w:rPr>
              <w:t>2021</w:t>
            </w:r>
          </w:p>
        </w:tc>
      </w:tr>
      <w:tr w:rsidR="00D11502" w:rsidRPr="00F23B1D" w14:paraId="74BE27B8" w14:textId="77777777" w:rsidTr="00F23B1D">
        <w:trPr>
          <w:trHeight w:val="300"/>
        </w:trPr>
        <w:tc>
          <w:tcPr>
            <w:cnfStyle w:val="001000000000" w:firstRow="0" w:lastRow="0" w:firstColumn="1" w:lastColumn="0" w:oddVBand="0" w:evenVBand="0" w:oddHBand="0" w:evenHBand="0" w:firstRowFirstColumn="0" w:firstRowLastColumn="0" w:lastRowFirstColumn="0" w:lastRowLastColumn="0"/>
            <w:tcW w:w="2172" w:type="pct"/>
            <w:noWrap/>
            <w:hideMark/>
          </w:tcPr>
          <w:p w14:paraId="79D10E4F" w14:textId="77777777" w:rsidR="00DF2A42" w:rsidRPr="00F23B1D" w:rsidRDefault="00365B1B" w:rsidP="00E0795E">
            <w:pPr>
              <w:spacing w:line="360" w:lineRule="auto"/>
              <w:jc w:val="center"/>
              <w:rPr>
                <w:rFonts w:eastAsia="Times New Roman" w:cs="Times New Roman"/>
                <w:iCs/>
                <w:color w:val="000000"/>
                <w:szCs w:val="16"/>
                <w:lang w:eastAsia="en-029"/>
              </w:rPr>
            </w:pPr>
            <w:r w:rsidRPr="00F23B1D">
              <w:rPr>
                <w:rFonts w:eastAsia="Times New Roman" w:cs="Times New Roman"/>
                <w:iCs/>
                <w:color w:val="000000"/>
                <w:szCs w:val="16"/>
                <w:lang w:eastAsia="en-029"/>
              </w:rPr>
              <w:t>Treasury Bills</w:t>
            </w:r>
          </w:p>
        </w:tc>
        <w:tc>
          <w:tcPr>
            <w:tcW w:w="563" w:type="pct"/>
            <w:noWrap/>
            <w:hideMark/>
          </w:tcPr>
          <w:p w14:paraId="641EF8D0" w14:textId="77777777" w:rsidR="00DF2A42" w:rsidRPr="00F23B1D" w:rsidRDefault="00365B1B" w:rsidP="00E079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4.2%</w:t>
            </w:r>
          </w:p>
        </w:tc>
        <w:tc>
          <w:tcPr>
            <w:tcW w:w="562" w:type="pct"/>
            <w:noWrap/>
            <w:hideMark/>
          </w:tcPr>
          <w:p w14:paraId="133C372E" w14:textId="77777777" w:rsidR="00DF2A42" w:rsidRPr="00F23B1D" w:rsidRDefault="00365B1B" w:rsidP="00E079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4.2%</w:t>
            </w:r>
          </w:p>
        </w:tc>
        <w:tc>
          <w:tcPr>
            <w:tcW w:w="562" w:type="pct"/>
            <w:noWrap/>
            <w:hideMark/>
          </w:tcPr>
          <w:p w14:paraId="081D9D9B" w14:textId="77777777" w:rsidR="00DF2A42" w:rsidRPr="00F23B1D" w:rsidRDefault="00365B1B" w:rsidP="00E079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3.7%</w:t>
            </w:r>
          </w:p>
        </w:tc>
        <w:tc>
          <w:tcPr>
            <w:tcW w:w="562" w:type="pct"/>
            <w:noWrap/>
            <w:hideMark/>
          </w:tcPr>
          <w:p w14:paraId="7333F821" w14:textId="77777777" w:rsidR="00DF2A42" w:rsidRPr="00F23B1D" w:rsidRDefault="00365B1B" w:rsidP="00E079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3.7%</w:t>
            </w:r>
          </w:p>
        </w:tc>
        <w:tc>
          <w:tcPr>
            <w:tcW w:w="579" w:type="pct"/>
            <w:noWrap/>
            <w:hideMark/>
          </w:tcPr>
          <w:p w14:paraId="2BC30C5D" w14:textId="77777777" w:rsidR="00DF2A42" w:rsidRPr="00F23B1D" w:rsidRDefault="00365B1B" w:rsidP="00E079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Cs/>
                <w:szCs w:val="16"/>
                <w:lang w:eastAsia="en-029"/>
              </w:rPr>
            </w:pPr>
            <w:r w:rsidRPr="00F23B1D">
              <w:rPr>
                <w:rFonts w:eastAsia="Times New Roman" w:cs="Times New Roman"/>
                <w:iCs/>
                <w:szCs w:val="16"/>
                <w:lang w:eastAsia="en-029"/>
              </w:rPr>
              <w:t>3.8%</w:t>
            </w:r>
          </w:p>
        </w:tc>
      </w:tr>
      <w:tr w:rsidR="00D11502" w:rsidRPr="00F23B1D" w14:paraId="51A91331" w14:textId="77777777" w:rsidTr="00F23B1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72" w:type="pct"/>
            <w:noWrap/>
            <w:hideMark/>
          </w:tcPr>
          <w:p w14:paraId="3E06B92D" w14:textId="77777777" w:rsidR="00DF2A42" w:rsidRPr="00F23B1D" w:rsidRDefault="00365B1B" w:rsidP="00E0795E">
            <w:pPr>
              <w:spacing w:line="360" w:lineRule="auto"/>
              <w:jc w:val="center"/>
              <w:rPr>
                <w:rFonts w:eastAsia="Times New Roman" w:cs="Times New Roman"/>
                <w:iCs/>
                <w:color w:val="000000"/>
                <w:szCs w:val="16"/>
                <w:lang w:eastAsia="en-029"/>
              </w:rPr>
            </w:pPr>
            <w:r w:rsidRPr="00F23B1D">
              <w:rPr>
                <w:rFonts w:eastAsia="Times New Roman" w:cs="Times New Roman"/>
                <w:iCs/>
                <w:color w:val="000000"/>
                <w:szCs w:val="16"/>
                <w:lang w:eastAsia="en-029"/>
              </w:rPr>
              <w:t>Bonds</w:t>
            </w:r>
          </w:p>
        </w:tc>
        <w:tc>
          <w:tcPr>
            <w:tcW w:w="563" w:type="pct"/>
            <w:noWrap/>
            <w:hideMark/>
          </w:tcPr>
          <w:p w14:paraId="22FACC97" w14:textId="77777777" w:rsidR="00DF2A42" w:rsidRPr="00F23B1D" w:rsidRDefault="00365B1B" w:rsidP="00E0795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6.7%</w:t>
            </w:r>
          </w:p>
        </w:tc>
        <w:tc>
          <w:tcPr>
            <w:tcW w:w="562" w:type="pct"/>
            <w:noWrap/>
            <w:hideMark/>
          </w:tcPr>
          <w:p w14:paraId="0A877D26" w14:textId="77777777" w:rsidR="00DF2A42" w:rsidRPr="00F23B1D" w:rsidRDefault="00365B1B" w:rsidP="00E0795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6.5%</w:t>
            </w:r>
          </w:p>
        </w:tc>
        <w:tc>
          <w:tcPr>
            <w:tcW w:w="562" w:type="pct"/>
            <w:noWrap/>
            <w:hideMark/>
          </w:tcPr>
          <w:p w14:paraId="0AD8C871" w14:textId="77777777" w:rsidR="00DF2A42" w:rsidRPr="00F23B1D" w:rsidRDefault="00365B1B" w:rsidP="00E0795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6.4%</w:t>
            </w:r>
          </w:p>
        </w:tc>
        <w:tc>
          <w:tcPr>
            <w:tcW w:w="562" w:type="pct"/>
            <w:noWrap/>
            <w:hideMark/>
          </w:tcPr>
          <w:p w14:paraId="398E3BEB" w14:textId="77777777" w:rsidR="00DF2A42" w:rsidRPr="00F23B1D" w:rsidRDefault="00365B1B" w:rsidP="00E0795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6.4%</w:t>
            </w:r>
          </w:p>
        </w:tc>
        <w:tc>
          <w:tcPr>
            <w:tcW w:w="579" w:type="pct"/>
            <w:noWrap/>
            <w:hideMark/>
          </w:tcPr>
          <w:p w14:paraId="209D67F0" w14:textId="77777777" w:rsidR="00DF2A42" w:rsidRPr="00F23B1D" w:rsidRDefault="00365B1B" w:rsidP="00E0795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Cs/>
                <w:szCs w:val="16"/>
                <w:lang w:eastAsia="en-029"/>
              </w:rPr>
            </w:pPr>
            <w:r w:rsidRPr="00F23B1D">
              <w:rPr>
                <w:rFonts w:eastAsia="Times New Roman" w:cs="Times New Roman"/>
                <w:iCs/>
                <w:szCs w:val="16"/>
                <w:lang w:eastAsia="en-029"/>
              </w:rPr>
              <w:t>6.2%</w:t>
            </w:r>
          </w:p>
        </w:tc>
      </w:tr>
      <w:tr w:rsidR="00D11502" w:rsidRPr="00F23B1D" w14:paraId="7908D38A" w14:textId="77777777" w:rsidTr="00F23B1D">
        <w:trPr>
          <w:trHeight w:val="300"/>
        </w:trPr>
        <w:tc>
          <w:tcPr>
            <w:cnfStyle w:val="001000000000" w:firstRow="0" w:lastRow="0" w:firstColumn="1" w:lastColumn="0" w:oddVBand="0" w:evenVBand="0" w:oddHBand="0" w:evenHBand="0" w:firstRowFirstColumn="0" w:firstRowLastColumn="0" w:lastRowFirstColumn="0" w:lastRowLastColumn="0"/>
            <w:tcW w:w="2172" w:type="pct"/>
            <w:noWrap/>
            <w:hideMark/>
          </w:tcPr>
          <w:p w14:paraId="5E5210B2" w14:textId="77777777" w:rsidR="00DF2A42" w:rsidRPr="00F23B1D" w:rsidRDefault="00365B1B" w:rsidP="00E0795E">
            <w:pPr>
              <w:spacing w:line="360" w:lineRule="auto"/>
              <w:jc w:val="center"/>
              <w:rPr>
                <w:rFonts w:eastAsia="Times New Roman" w:cs="Times New Roman"/>
                <w:iCs/>
                <w:color w:val="000000"/>
                <w:szCs w:val="16"/>
                <w:lang w:eastAsia="en-029"/>
              </w:rPr>
            </w:pPr>
            <w:r w:rsidRPr="00F23B1D">
              <w:rPr>
                <w:rFonts w:eastAsia="Times New Roman" w:cs="Times New Roman"/>
                <w:iCs/>
                <w:color w:val="000000"/>
                <w:szCs w:val="16"/>
                <w:lang w:eastAsia="en-029"/>
              </w:rPr>
              <w:t>Loans</w:t>
            </w:r>
          </w:p>
        </w:tc>
        <w:tc>
          <w:tcPr>
            <w:tcW w:w="563" w:type="pct"/>
            <w:noWrap/>
            <w:hideMark/>
          </w:tcPr>
          <w:p w14:paraId="0D576AF6" w14:textId="77777777" w:rsidR="00DF2A42" w:rsidRPr="00F23B1D" w:rsidRDefault="00365B1B" w:rsidP="00E079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3.1%</w:t>
            </w:r>
          </w:p>
        </w:tc>
        <w:tc>
          <w:tcPr>
            <w:tcW w:w="562" w:type="pct"/>
            <w:noWrap/>
            <w:hideMark/>
          </w:tcPr>
          <w:p w14:paraId="6DAF213A" w14:textId="77777777" w:rsidR="00DF2A42" w:rsidRPr="00F23B1D" w:rsidRDefault="00365B1B" w:rsidP="00E079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3.3%</w:t>
            </w:r>
          </w:p>
        </w:tc>
        <w:tc>
          <w:tcPr>
            <w:tcW w:w="562" w:type="pct"/>
            <w:noWrap/>
            <w:hideMark/>
          </w:tcPr>
          <w:p w14:paraId="729AA14F" w14:textId="77777777" w:rsidR="00DF2A42" w:rsidRPr="00F23B1D" w:rsidRDefault="00365B1B" w:rsidP="00E079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3.3%</w:t>
            </w:r>
          </w:p>
        </w:tc>
        <w:tc>
          <w:tcPr>
            <w:tcW w:w="562" w:type="pct"/>
            <w:noWrap/>
            <w:hideMark/>
          </w:tcPr>
          <w:p w14:paraId="312B3BA0" w14:textId="77777777" w:rsidR="00DF2A42" w:rsidRPr="00F23B1D" w:rsidRDefault="00365B1B" w:rsidP="00E079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2.6%</w:t>
            </w:r>
          </w:p>
        </w:tc>
        <w:tc>
          <w:tcPr>
            <w:tcW w:w="579" w:type="pct"/>
            <w:noWrap/>
            <w:hideMark/>
          </w:tcPr>
          <w:p w14:paraId="629B4091" w14:textId="77777777" w:rsidR="00DF2A42" w:rsidRPr="00F23B1D" w:rsidRDefault="00365B1B" w:rsidP="00E079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Cs/>
                <w:szCs w:val="16"/>
                <w:lang w:eastAsia="en-029"/>
              </w:rPr>
            </w:pPr>
            <w:r w:rsidRPr="00F23B1D">
              <w:rPr>
                <w:rFonts w:eastAsia="Times New Roman" w:cs="Times New Roman"/>
                <w:iCs/>
                <w:szCs w:val="16"/>
                <w:lang w:eastAsia="en-029"/>
              </w:rPr>
              <w:t>2.3%</w:t>
            </w:r>
          </w:p>
        </w:tc>
      </w:tr>
      <w:tr w:rsidR="00D11502" w:rsidRPr="00F23B1D" w14:paraId="5FD8D323" w14:textId="77777777" w:rsidTr="00F23B1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72" w:type="pct"/>
            <w:noWrap/>
            <w:hideMark/>
          </w:tcPr>
          <w:p w14:paraId="62A83F4E" w14:textId="77777777" w:rsidR="00DF2A42" w:rsidRPr="00F23B1D" w:rsidRDefault="00365B1B" w:rsidP="00E0795E">
            <w:pPr>
              <w:spacing w:line="360" w:lineRule="auto"/>
              <w:jc w:val="center"/>
              <w:rPr>
                <w:rFonts w:eastAsia="Times New Roman" w:cs="Times New Roman"/>
                <w:iCs/>
                <w:color w:val="000000"/>
                <w:szCs w:val="16"/>
                <w:lang w:eastAsia="en-029"/>
              </w:rPr>
            </w:pPr>
            <w:r w:rsidRPr="00F23B1D">
              <w:rPr>
                <w:rFonts w:eastAsia="Times New Roman" w:cs="Times New Roman"/>
                <w:iCs/>
                <w:color w:val="000000"/>
                <w:szCs w:val="16"/>
                <w:lang w:eastAsia="en-029"/>
              </w:rPr>
              <w:t>Total</w:t>
            </w:r>
          </w:p>
        </w:tc>
        <w:tc>
          <w:tcPr>
            <w:tcW w:w="563" w:type="pct"/>
            <w:noWrap/>
            <w:hideMark/>
          </w:tcPr>
          <w:p w14:paraId="6B917C02" w14:textId="77777777" w:rsidR="00DF2A42" w:rsidRPr="00F23B1D" w:rsidRDefault="00365B1B" w:rsidP="00E0795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5.3%</w:t>
            </w:r>
          </w:p>
        </w:tc>
        <w:tc>
          <w:tcPr>
            <w:tcW w:w="562" w:type="pct"/>
            <w:noWrap/>
            <w:hideMark/>
          </w:tcPr>
          <w:p w14:paraId="474F4F6A" w14:textId="77777777" w:rsidR="00DF2A42" w:rsidRPr="00F23B1D" w:rsidRDefault="00365B1B" w:rsidP="00E0795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5.3%</w:t>
            </w:r>
          </w:p>
        </w:tc>
        <w:tc>
          <w:tcPr>
            <w:tcW w:w="562" w:type="pct"/>
            <w:noWrap/>
            <w:hideMark/>
          </w:tcPr>
          <w:p w14:paraId="48A6648F" w14:textId="77777777" w:rsidR="00DF2A42" w:rsidRPr="00F23B1D" w:rsidRDefault="00365B1B" w:rsidP="00E0795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5.2%</w:t>
            </w:r>
          </w:p>
        </w:tc>
        <w:tc>
          <w:tcPr>
            <w:tcW w:w="562" w:type="pct"/>
            <w:noWrap/>
            <w:hideMark/>
          </w:tcPr>
          <w:p w14:paraId="326C8DA1" w14:textId="77777777" w:rsidR="00DF2A42" w:rsidRPr="00F23B1D" w:rsidRDefault="00365B1B" w:rsidP="00E0795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4.8%</w:t>
            </w:r>
          </w:p>
        </w:tc>
        <w:tc>
          <w:tcPr>
            <w:tcW w:w="579" w:type="pct"/>
            <w:noWrap/>
            <w:hideMark/>
          </w:tcPr>
          <w:p w14:paraId="09821E80" w14:textId="77777777" w:rsidR="00DF2A42" w:rsidRPr="00F23B1D" w:rsidRDefault="00365B1B" w:rsidP="00E0795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iCs/>
                <w:szCs w:val="16"/>
                <w:lang w:eastAsia="en-029"/>
              </w:rPr>
            </w:pPr>
            <w:r w:rsidRPr="00F23B1D">
              <w:rPr>
                <w:rFonts w:eastAsia="Times New Roman" w:cs="Times New Roman"/>
                <w:iCs/>
                <w:szCs w:val="16"/>
                <w:lang w:eastAsia="en-029"/>
              </w:rPr>
              <w:t>4.5%</w:t>
            </w:r>
          </w:p>
        </w:tc>
      </w:tr>
      <w:tr w:rsidR="00D11502" w:rsidRPr="00F23B1D" w14:paraId="538E6075" w14:textId="77777777" w:rsidTr="00F23B1D">
        <w:trPr>
          <w:trHeight w:val="315"/>
        </w:trPr>
        <w:tc>
          <w:tcPr>
            <w:cnfStyle w:val="001000000000" w:firstRow="0" w:lastRow="0" w:firstColumn="1" w:lastColumn="0" w:oddVBand="0" w:evenVBand="0" w:oddHBand="0" w:evenHBand="0" w:firstRowFirstColumn="0" w:firstRowLastColumn="0" w:lastRowFirstColumn="0" w:lastRowLastColumn="0"/>
            <w:tcW w:w="2172" w:type="pct"/>
            <w:noWrap/>
            <w:hideMark/>
          </w:tcPr>
          <w:p w14:paraId="1C28E03A" w14:textId="77777777" w:rsidR="00DF2A42" w:rsidRPr="00F23B1D" w:rsidRDefault="00365B1B" w:rsidP="00E0795E">
            <w:pPr>
              <w:spacing w:line="360" w:lineRule="auto"/>
              <w:jc w:val="center"/>
              <w:rPr>
                <w:rFonts w:eastAsia="Times New Roman" w:cs="Times New Roman"/>
                <w:iCs/>
                <w:color w:val="000000"/>
                <w:szCs w:val="16"/>
                <w:lang w:eastAsia="en-029"/>
              </w:rPr>
            </w:pPr>
            <w:r w:rsidRPr="00F23B1D">
              <w:rPr>
                <w:rFonts w:eastAsia="Times New Roman" w:cs="Times New Roman"/>
                <w:iCs/>
                <w:color w:val="000000"/>
                <w:szCs w:val="16"/>
                <w:lang w:eastAsia="en-029"/>
              </w:rPr>
              <w:t>% Change</w:t>
            </w:r>
          </w:p>
        </w:tc>
        <w:tc>
          <w:tcPr>
            <w:tcW w:w="563" w:type="pct"/>
            <w:noWrap/>
            <w:hideMark/>
          </w:tcPr>
          <w:p w14:paraId="672EC3DF" w14:textId="77777777" w:rsidR="00DF2A42" w:rsidRPr="00F23B1D" w:rsidRDefault="00365B1B" w:rsidP="00E079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 </w:t>
            </w:r>
          </w:p>
        </w:tc>
        <w:tc>
          <w:tcPr>
            <w:tcW w:w="562" w:type="pct"/>
            <w:noWrap/>
            <w:hideMark/>
          </w:tcPr>
          <w:p w14:paraId="081D21B3" w14:textId="77777777" w:rsidR="00DF2A42" w:rsidRPr="00F23B1D" w:rsidRDefault="00365B1B" w:rsidP="00E079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0.76</w:t>
            </w:r>
          </w:p>
        </w:tc>
        <w:tc>
          <w:tcPr>
            <w:tcW w:w="562" w:type="pct"/>
            <w:noWrap/>
            <w:hideMark/>
          </w:tcPr>
          <w:p w14:paraId="60A281C7" w14:textId="77777777" w:rsidR="00DF2A42" w:rsidRPr="00F23B1D" w:rsidRDefault="00365B1B" w:rsidP="00E079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-2.69</w:t>
            </w:r>
          </w:p>
        </w:tc>
        <w:tc>
          <w:tcPr>
            <w:tcW w:w="562" w:type="pct"/>
            <w:noWrap/>
            <w:hideMark/>
          </w:tcPr>
          <w:p w14:paraId="5559A082" w14:textId="77777777" w:rsidR="00DF2A42" w:rsidRPr="00F23B1D" w:rsidRDefault="00365B1B" w:rsidP="00E079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-6.16</w:t>
            </w:r>
          </w:p>
        </w:tc>
        <w:tc>
          <w:tcPr>
            <w:tcW w:w="579" w:type="pct"/>
            <w:noWrap/>
            <w:hideMark/>
          </w:tcPr>
          <w:p w14:paraId="6A6F86AC" w14:textId="77777777" w:rsidR="00DF2A42" w:rsidRPr="00F23B1D" w:rsidRDefault="00365B1B" w:rsidP="00E0795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Cs/>
                <w:color w:val="000000"/>
                <w:szCs w:val="16"/>
                <w:lang w:eastAsia="en-029"/>
              </w:rPr>
            </w:pPr>
            <w:r w:rsidRPr="00F23B1D">
              <w:rPr>
                <w:rFonts w:eastAsia="Times New Roman" w:cs="Times New Roman"/>
                <w:iCs/>
                <w:color w:val="000000"/>
                <w:szCs w:val="16"/>
                <w:lang w:eastAsia="en-029"/>
              </w:rPr>
              <w:t>-7.23</w:t>
            </w:r>
          </w:p>
        </w:tc>
      </w:tr>
    </w:tbl>
    <w:p w14:paraId="18173888" w14:textId="77777777" w:rsidR="00BB069B" w:rsidRPr="00BB3D52" w:rsidRDefault="00BB069B" w:rsidP="00E0795E">
      <w:pPr>
        <w:spacing w:line="360" w:lineRule="auto"/>
        <w:jc w:val="both"/>
        <w:rPr>
          <w:rFonts w:cs="Times New Roman"/>
          <w:sz w:val="24"/>
          <w:szCs w:val="24"/>
        </w:rPr>
      </w:pPr>
    </w:p>
    <w:p w14:paraId="4DE06C95" w14:textId="77777777" w:rsidR="008F5CDA" w:rsidRPr="00BB3D52" w:rsidRDefault="00365B1B" w:rsidP="00E0795E">
      <w:pPr>
        <w:pStyle w:val="Heading2"/>
        <w:spacing w:line="360" w:lineRule="auto"/>
        <w:rPr>
          <w:rFonts w:cs="Times New Roman"/>
          <w:sz w:val="24"/>
          <w:szCs w:val="24"/>
        </w:rPr>
      </w:pPr>
      <w:bookmarkStart w:id="120" w:name="_Toc102558939"/>
      <w:r>
        <w:rPr>
          <w:noProof/>
          <w:lang w:val="en-US"/>
        </w:rPr>
        <w:drawing>
          <wp:anchor distT="0" distB="0" distL="114300" distR="114300" simplePos="0" relativeHeight="251676672" behindDoc="0" locked="0" layoutInCell="1" allowOverlap="1" wp14:anchorId="7F1FCCFB" wp14:editId="0207BCE9">
            <wp:simplePos x="0" y="0"/>
            <wp:positionH relativeFrom="margin">
              <wp:posOffset>2552700</wp:posOffset>
            </wp:positionH>
            <wp:positionV relativeFrom="paragraph">
              <wp:posOffset>226695</wp:posOffset>
            </wp:positionV>
            <wp:extent cx="3333750" cy="1762125"/>
            <wp:effectExtent l="0" t="0" r="0" b="0"/>
            <wp:wrapSquare wrapText="bothSides"/>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r w:rsidR="00954242" w:rsidRPr="00BB3D52">
        <w:rPr>
          <w:rFonts w:cs="Times New Roman"/>
          <w:sz w:val="24"/>
          <w:szCs w:val="24"/>
        </w:rPr>
        <w:t xml:space="preserve"> </w:t>
      </w:r>
      <w:bookmarkEnd w:id="110"/>
      <w:bookmarkEnd w:id="112"/>
      <w:bookmarkEnd w:id="113"/>
      <w:bookmarkEnd w:id="114"/>
      <w:r w:rsidR="00AD7BDE">
        <w:rPr>
          <w:rFonts w:cs="Times New Roman"/>
          <w:sz w:val="24"/>
          <w:szCs w:val="24"/>
        </w:rPr>
        <w:t>7</w:t>
      </w:r>
      <w:r w:rsidR="001F0670" w:rsidRPr="00BB3D52">
        <w:rPr>
          <w:rFonts w:cs="Times New Roman"/>
          <w:sz w:val="24"/>
          <w:szCs w:val="24"/>
        </w:rPr>
        <w:t>.4 Currency Composition and Risk</w:t>
      </w:r>
      <w:bookmarkEnd w:id="120"/>
    </w:p>
    <w:p w14:paraId="35B26C4B" w14:textId="77777777" w:rsidR="002A6731" w:rsidRPr="00BB3D52" w:rsidRDefault="00365B1B" w:rsidP="00E0795E">
      <w:pPr>
        <w:spacing w:line="360" w:lineRule="auto"/>
        <w:jc w:val="both"/>
        <w:rPr>
          <w:rFonts w:cs="Times New Roman"/>
          <w:sz w:val="24"/>
          <w:szCs w:val="24"/>
        </w:rPr>
      </w:pPr>
      <w:r>
        <w:rPr>
          <w:noProof/>
          <w:lang w:val="en-US"/>
        </w:rPr>
        <mc:AlternateContent>
          <mc:Choice Requires="wps">
            <w:drawing>
              <wp:anchor distT="0" distB="0" distL="114300" distR="114300" simplePos="0" relativeHeight="251735040" behindDoc="0" locked="0" layoutInCell="1" allowOverlap="1" wp14:anchorId="7DE6F6B4" wp14:editId="20936336">
                <wp:simplePos x="0" y="0"/>
                <wp:positionH relativeFrom="column">
                  <wp:posOffset>3295650</wp:posOffset>
                </wp:positionH>
                <wp:positionV relativeFrom="paragraph">
                  <wp:posOffset>11430</wp:posOffset>
                </wp:positionV>
                <wp:extent cx="1819275" cy="123825"/>
                <wp:effectExtent l="0" t="0" r="9525" b="9525"/>
                <wp:wrapSquare wrapText="bothSides"/>
                <wp:docPr id="51" name="Text Box 51"/>
                <wp:cNvGraphicFramePr/>
                <a:graphic xmlns:a="http://schemas.openxmlformats.org/drawingml/2006/main">
                  <a:graphicData uri="http://schemas.microsoft.com/office/word/2010/wordprocessingShape">
                    <wps:wsp>
                      <wps:cNvSpPr txBox="1"/>
                      <wps:spPr>
                        <a:xfrm>
                          <a:off x="0" y="0"/>
                          <a:ext cx="1819275" cy="123825"/>
                        </a:xfrm>
                        <a:prstGeom prst="rect">
                          <a:avLst/>
                        </a:prstGeom>
                        <a:solidFill>
                          <a:prstClr val="white"/>
                        </a:solidFill>
                        <a:ln>
                          <a:noFill/>
                        </a:ln>
                        <a:effectLst/>
                      </wps:spPr>
                      <wps:txbx>
                        <w:txbxContent>
                          <w:p w14:paraId="15A57E15" w14:textId="77777777" w:rsidR="005C750A" w:rsidRPr="00282F39" w:rsidRDefault="005C750A" w:rsidP="007976F6">
                            <w:pPr>
                              <w:rPr>
                                <w:noProof/>
                              </w:rPr>
                            </w:pPr>
                            <w:bookmarkStart w:id="121" w:name="_Toc102559792"/>
                            <w:bookmarkStart w:id="122" w:name="_Toc102560690"/>
                            <w:r w:rsidRPr="00282F39">
                              <w:t xml:space="preserve">Figure </w:t>
                            </w:r>
                            <w:r w:rsidR="002E1637">
                              <w:fldChar w:fldCharType="begin"/>
                            </w:r>
                            <w:r w:rsidR="002E1637">
                              <w:instrText xml:space="preserve"> SEQ Figure \* ARABIC </w:instrText>
                            </w:r>
                            <w:r w:rsidR="002E1637">
                              <w:fldChar w:fldCharType="separate"/>
                            </w:r>
                            <w:r>
                              <w:rPr>
                                <w:noProof/>
                              </w:rPr>
                              <w:t>22</w:t>
                            </w:r>
                            <w:r w:rsidR="002E1637">
                              <w:rPr>
                                <w:noProof/>
                              </w:rPr>
                              <w:fldChar w:fldCharType="end"/>
                            </w:r>
                            <w:r w:rsidRPr="00282F39">
                              <w:t xml:space="preserve">: </w:t>
                            </w:r>
                            <w:r w:rsidRPr="00282F39">
                              <w:rPr>
                                <w:lang w:val="en-US"/>
                              </w:rPr>
                              <w:t>Currency Composition 2021</w:t>
                            </w:r>
                            <w:bookmarkEnd w:id="121"/>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DE6F6B4" id="Text Box 51" o:spid="_x0000_s1052" type="#_x0000_t202" style="position:absolute;left:0;text-align:left;margin-left:259.5pt;margin-top:.9pt;width:143.25pt;height:9.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" stroked="f">
                <v:textbox inset="0,0,0,0">
                  <w:txbxContent>
                    <w:p w14:paraId="15A57E15" w14:textId="77777777" w:rsidR="005C750A" w:rsidRPr="00282F39" w:rsidRDefault="005C750A" w:rsidP="007976F6">
                      <w:pPr>
                        <w:rPr>
                          <w:noProof/>
                        </w:rPr>
                      </w:pPr>
                      <w:bookmarkStart w:id="164" w:name="_Toc102559792"/>
                      <w:bookmarkStart w:id="165" w:name="_Toc102560690"/>
                      <w:r w:rsidRPr="00282F39">
                        <w:t xml:space="preserve">Figure </w:t>
                      </w:r>
                      <w:fldSimple w:instr=" SEQ Figure \* ARABIC ">
                        <w:r>
                          <w:rPr>
                            <w:noProof/>
                          </w:rPr>
                          <w:t>22</w:t>
                        </w:r>
                      </w:fldSimple>
                      <w:r w:rsidRPr="00282F39">
                        <w:t xml:space="preserve">: </w:t>
                      </w:r>
                      <w:r w:rsidRPr="00282F39">
                        <w:rPr>
                          <w:lang w:val="en-US"/>
                        </w:rPr>
                        <w:t>Currency Composition 2021</w:t>
                      </w:r>
                      <w:bookmarkEnd w:id="164"/>
                      <w:bookmarkEnd w:id="165"/>
                    </w:p>
                  </w:txbxContent>
                </v:textbox>
                <w10:wrap type="square"/>
              </v:shape>
            </w:pict>
          </mc:Fallback>
        </mc:AlternateContent>
      </w:r>
      <w:r w:rsidR="001F0670" w:rsidRPr="00BB3D52">
        <w:rPr>
          <w:rFonts w:cs="Times New Roman"/>
          <w:sz w:val="24"/>
          <w:szCs w:val="24"/>
        </w:rPr>
        <w:t xml:space="preserve">The foreign exchange risk inherent in the </w:t>
      </w:r>
      <w:r w:rsidR="002A6731" w:rsidRPr="00BB3D52">
        <w:rPr>
          <w:rFonts w:cs="Times New Roman"/>
          <w:sz w:val="24"/>
          <w:szCs w:val="24"/>
        </w:rPr>
        <w:t>portfolio at the end of 2021</w:t>
      </w:r>
      <w:r w:rsidR="001F0670" w:rsidRPr="00BB3D52">
        <w:rPr>
          <w:rFonts w:cs="Times New Roman"/>
          <w:sz w:val="24"/>
          <w:szCs w:val="24"/>
        </w:rPr>
        <w:t xml:space="preserve"> was</w:t>
      </w:r>
      <w:r w:rsidR="002A6731" w:rsidRPr="00BB3D52">
        <w:rPr>
          <w:rFonts w:cs="Times New Roman"/>
          <w:sz w:val="24"/>
          <w:szCs w:val="24"/>
        </w:rPr>
        <w:t xml:space="preserve"> minuscule because the XCD (52.4%) and the USD (38.9</w:t>
      </w:r>
      <w:r w:rsidR="001F0670" w:rsidRPr="00BB3D52">
        <w:rPr>
          <w:rFonts w:cs="Times New Roman"/>
          <w:sz w:val="24"/>
          <w:szCs w:val="24"/>
        </w:rPr>
        <w:t>%) were the dominant currencies in the portfolio. The Kuwait Dinar, Euro, and Spe</w:t>
      </w:r>
      <w:r w:rsidR="00364A86">
        <w:rPr>
          <w:rFonts w:cs="Times New Roman"/>
          <w:sz w:val="24"/>
          <w:szCs w:val="24"/>
        </w:rPr>
        <w:t xml:space="preserve">cial Drawing Rights presented </w:t>
      </w:r>
      <w:r w:rsidR="001F0670" w:rsidRPr="00BB3D52">
        <w:rPr>
          <w:rFonts w:cs="Times New Roman"/>
          <w:sz w:val="24"/>
          <w:szCs w:val="24"/>
        </w:rPr>
        <w:t xml:space="preserve">minimal foreign currency </w:t>
      </w:r>
      <w:r w:rsidR="00636E5D">
        <w:rPr>
          <w:rFonts w:cs="Times New Roman"/>
          <w:sz w:val="24"/>
          <w:szCs w:val="24"/>
        </w:rPr>
        <w:t>risk to the portfolio. (</w:t>
      </w:r>
      <w:r w:rsidR="00392EA2">
        <w:rPr>
          <w:rFonts w:cs="Times New Roman"/>
          <w:sz w:val="24"/>
          <w:szCs w:val="24"/>
        </w:rPr>
        <w:t>Figure</w:t>
      </w:r>
      <w:r w:rsidR="00636E5D">
        <w:rPr>
          <w:rFonts w:cs="Times New Roman"/>
          <w:sz w:val="24"/>
          <w:szCs w:val="24"/>
        </w:rPr>
        <w:t xml:space="preserve"> 22</w:t>
      </w:r>
      <w:r w:rsidR="001F0670" w:rsidRPr="00BB3D52">
        <w:rPr>
          <w:rFonts w:cs="Times New Roman"/>
          <w:sz w:val="24"/>
          <w:szCs w:val="24"/>
        </w:rPr>
        <w:t>)</w:t>
      </w:r>
      <w:r w:rsidR="00636E5D" w:rsidRPr="00636E5D">
        <w:rPr>
          <w:noProof/>
          <w:lang w:eastAsia="en-029"/>
        </w:rPr>
        <w:t xml:space="preserve"> </w:t>
      </w:r>
    </w:p>
    <w:p w14:paraId="18F13CC2" w14:textId="77777777" w:rsidR="008F5CDA" w:rsidRPr="00BB3D52" w:rsidRDefault="00365B1B" w:rsidP="00E0795E">
      <w:pPr>
        <w:pStyle w:val="Heading2"/>
        <w:spacing w:line="360" w:lineRule="auto"/>
        <w:rPr>
          <w:rFonts w:cs="Times New Roman"/>
          <w:sz w:val="24"/>
          <w:szCs w:val="24"/>
        </w:rPr>
      </w:pPr>
      <w:bookmarkStart w:id="123" w:name="_Toc102558940"/>
      <w:r>
        <w:rPr>
          <w:rFonts w:cs="Times New Roman"/>
          <w:sz w:val="24"/>
          <w:szCs w:val="24"/>
        </w:rPr>
        <w:t>7</w:t>
      </w:r>
      <w:r w:rsidR="001F0670" w:rsidRPr="00BB3D52">
        <w:rPr>
          <w:rFonts w:cs="Times New Roman"/>
          <w:sz w:val="24"/>
          <w:szCs w:val="24"/>
        </w:rPr>
        <w:t>.5 Interest Rate Composition and Risk</w:t>
      </w:r>
      <w:bookmarkEnd w:id="123"/>
    </w:p>
    <w:p w14:paraId="79B4AB33" w14:textId="77777777" w:rsidR="0015470B" w:rsidRPr="00BB3D52" w:rsidRDefault="00E718D0" w:rsidP="00E0795E">
      <w:pPr>
        <w:spacing w:line="360" w:lineRule="auto"/>
        <w:jc w:val="both"/>
        <w:rPr>
          <w:rFonts w:cs="Times New Roman"/>
          <w:sz w:val="24"/>
          <w:szCs w:val="24"/>
        </w:rPr>
      </w:pPr>
      <w:r>
        <w:rPr>
          <w:noProof/>
          <w:lang w:val="en-US"/>
        </w:rPr>
        <mc:AlternateContent>
          <mc:Choice Requires="wps">
            <w:drawing>
              <wp:anchor distT="0" distB="0" distL="114300" distR="114300" simplePos="0" relativeHeight="251737088" behindDoc="0" locked="0" layoutInCell="1" allowOverlap="1" wp14:anchorId="5151D6EC" wp14:editId="4BAF0070">
                <wp:simplePos x="0" y="0"/>
                <wp:positionH relativeFrom="margin">
                  <wp:posOffset>3248025</wp:posOffset>
                </wp:positionH>
                <wp:positionV relativeFrom="paragraph">
                  <wp:posOffset>97155</wp:posOffset>
                </wp:positionV>
                <wp:extent cx="2009775" cy="114300"/>
                <wp:effectExtent l="0" t="0" r="9525" b="0"/>
                <wp:wrapSquare wrapText="bothSides"/>
                <wp:docPr id="52" name="Text Box 52"/>
                <wp:cNvGraphicFramePr/>
                <a:graphic xmlns:a="http://schemas.openxmlformats.org/drawingml/2006/main">
                  <a:graphicData uri="http://schemas.microsoft.com/office/word/2010/wordprocessingShape">
                    <wps:wsp>
                      <wps:cNvSpPr txBox="1"/>
                      <wps:spPr>
                        <a:xfrm>
                          <a:off x="0" y="0"/>
                          <a:ext cx="2009775" cy="114300"/>
                        </a:xfrm>
                        <a:prstGeom prst="rect">
                          <a:avLst/>
                        </a:prstGeom>
                        <a:solidFill>
                          <a:prstClr val="white"/>
                        </a:solidFill>
                        <a:ln>
                          <a:noFill/>
                        </a:ln>
                        <a:effectLst/>
                      </wps:spPr>
                      <wps:txbx>
                        <w:txbxContent>
                          <w:p w14:paraId="7B490618" w14:textId="77777777" w:rsidR="005C750A" w:rsidRPr="00282F39" w:rsidRDefault="005C750A" w:rsidP="007976F6">
                            <w:pPr>
                              <w:rPr>
                                <w:noProof/>
                              </w:rPr>
                            </w:pPr>
                            <w:bookmarkStart w:id="124" w:name="_Toc102559793"/>
                            <w:bookmarkStart w:id="125" w:name="_Toc102560691"/>
                            <w:r w:rsidRPr="00282F39">
                              <w:t xml:space="preserve">Figure </w:t>
                            </w:r>
                            <w:r w:rsidR="002E1637">
                              <w:fldChar w:fldCharType="begin"/>
                            </w:r>
                            <w:r w:rsidR="002E1637">
                              <w:instrText xml:space="preserve"> SEQ Figure \* ARABIC </w:instrText>
                            </w:r>
                            <w:r w:rsidR="002E1637">
                              <w:fldChar w:fldCharType="separate"/>
                            </w:r>
                            <w:r>
                              <w:rPr>
                                <w:noProof/>
                              </w:rPr>
                              <w:t>23</w:t>
                            </w:r>
                            <w:r w:rsidR="002E1637">
                              <w:rPr>
                                <w:noProof/>
                              </w:rPr>
                              <w:fldChar w:fldCharType="end"/>
                            </w:r>
                            <w:r w:rsidRPr="00282F39">
                              <w:t xml:space="preserve">: </w:t>
                            </w:r>
                            <w:r w:rsidRPr="00282F39">
                              <w:rPr>
                                <w:lang w:val="en-US"/>
                              </w:rPr>
                              <w:t>Interest Rate Composition 2021</w:t>
                            </w:r>
                            <w:bookmarkEnd w:id="124"/>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151D6EC" id="Text Box 52" o:spid="_x0000_s1053" type="#_x0000_t202" style="position:absolute;left:0;text-align:left;margin-left:255.75pt;margin-top:7.65pt;width:158.25pt;height:9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" stroked="f">
                <v:textbox inset="0,0,0,0">
                  <w:txbxContent>
                    <w:p w14:paraId="7B490618" w14:textId="77777777" w:rsidR="005C750A" w:rsidRPr="00282F39" w:rsidRDefault="005C750A" w:rsidP="007976F6">
                      <w:pPr>
                        <w:rPr>
                          <w:noProof/>
                        </w:rPr>
                      </w:pPr>
                      <w:bookmarkStart w:id="169" w:name="_Toc102559793"/>
                      <w:bookmarkStart w:id="170" w:name="_Toc102560691"/>
                      <w:r w:rsidRPr="00282F39">
                        <w:t xml:space="preserve">Figure </w:t>
                      </w:r>
                      <w:fldSimple w:instr=" SEQ Figure \* ARABIC ">
                        <w:r>
                          <w:rPr>
                            <w:noProof/>
                          </w:rPr>
                          <w:t>23</w:t>
                        </w:r>
                      </w:fldSimple>
                      <w:r w:rsidRPr="00282F39">
                        <w:t xml:space="preserve">: </w:t>
                      </w:r>
                      <w:r w:rsidRPr="00282F39">
                        <w:rPr>
                          <w:lang w:val="en-US"/>
                        </w:rPr>
                        <w:t>Interest Rate Composition 2021</w:t>
                      </w:r>
                      <w:bookmarkEnd w:id="169"/>
                      <w:bookmarkEnd w:id="170"/>
                    </w:p>
                  </w:txbxContent>
                </v:textbox>
                <w10:wrap type="square" anchorx="margin"/>
              </v:shape>
            </w:pict>
          </mc:Fallback>
        </mc:AlternateContent>
      </w:r>
      <w:r w:rsidR="00365B1B">
        <w:rPr>
          <w:noProof/>
          <w:lang w:val="en-US"/>
        </w:rPr>
        <w:drawing>
          <wp:anchor distT="0" distB="0" distL="114300" distR="114300" simplePos="0" relativeHeight="251677696" behindDoc="0" locked="0" layoutInCell="1" allowOverlap="1" wp14:anchorId="13B0A753" wp14:editId="7B0FDE6F">
            <wp:simplePos x="0" y="0"/>
            <wp:positionH relativeFrom="margin">
              <wp:align>right</wp:align>
            </wp:positionH>
            <wp:positionV relativeFrom="paragraph">
              <wp:posOffset>10795</wp:posOffset>
            </wp:positionV>
            <wp:extent cx="3291840" cy="1647825"/>
            <wp:effectExtent l="0" t="0" r="0" b="0"/>
            <wp:wrapSquare wrapText="bothSides"/>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r w:rsidR="000D5782" w:rsidRPr="00BB3D52">
        <w:rPr>
          <w:rFonts w:cs="Times New Roman"/>
          <w:sz w:val="24"/>
          <w:szCs w:val="24"/>
        </w:rPr>
        <w:t>At the end of December 2021</w:t>
      </w:r>
      <w:r w:rsidR="001F0670" w:rsidRPr="00BB3D52">
        <w:rPr>
          <w:rFonts w:cs="Times New Roman"/>
          <w:sz w:val="24"/>
          <w:szCs w:val="24"/>
        </w:rPr>
        <w:t>, the interest rate risk embedded in the debt portfolio was minimal due to fixed intere</w:t>
      </w:r>
      <w:r w:rsidR="000D5782" w:rsidRPr="00BB3D52">
        <w:rPr>
          <w:rFonts w:cs="Times New Roman"/>
          <w:sz w:val="24"/>
          <w:szCs w:val="24"/>
        </w:rPr>
        <w:t>st rate debt accounting for 83.9% or $3,464.63</w:t>
      </w:r>
      <w:r w:rsidR="001F0670" w:rsidRPr="00BB3D52">
        <w:rPr>
          <w:rFonts w:cs="Times New Roman"/>
          <w:sz w:val="24"/>
          <w:szCs w:val="24"/>
        </w:rPr>
        <w:t>M of the total public sector debt. Variable-rate debt, subject to interest rate cha</w:t>
      </w:r>
      <w:r w:rsidR="00953BB2">
        <w:rPr>
          <w:rFonts w:cs="Times New Roman"/>
          <w:sz w:val="24"/>
          <w:szCs w:val="24"/>
        </w:rPr>
        <w:t>nges every six months, held by t</w:t>
      </w:r>
      <w:r w:rsidR="001F0670" w:rsidRPr="00BB3D52">
        <w:rPr>
          <w:rFonts w:cs="Times New Roman"/>
          <w:sz w:val="24"/>
          <w:szCs w:val="24"/>
        </w:rPr>
        <w:t xml:space="preserve">he EXIM Bank, </w:t>
      </w:r>
      <w:r w:rsidR="000D5782" w:rsidRPr="00BB3D52">
        <w:rPr>
          <w:rFonts w:cs="Times New Roman"/>
          <w:sz w:val="24"/>
          <w:szCs w:val="24"/>
        </w:rPr>
        <w:t>the CDB, and the IBRD was $524.36M or 12.7</w:t>
      </w:r>
      <w:r w:rsidR="001F0670" w:rsidRPr="00BB3D52">
        <w:rPr>
          <w:rFonts w:cs="Times New Roman"/>
          <w:sz w:val="24"/>
          <w:szCs w:val="24"/>
        </w:rPr>
        <w:t>% of the total portfolio. Interest-free instruments (CIP bonds an</w:t>
      </w:r>
      <w:r w:rsidR="000D5782" w:rsidRPr="00BB3D52">
        <w:rPr>
          <w:rFonts w:cs="Times New Roman"/>
          <w:sz w:val="24"/>
          <w:szCs w:val="24"/>
        </w:rPr>
        <w:t>d IMF Loans) accounted for $139.44M or 3.4</w:t>
      </w:r>
      <w:r w:rsidR="001F0670" w:rsidRPr="00BB3D52">
        <w:rPr>
          <w:rFonts w:cs="Times New Roman"/>
          <w:sz w:val="24"/>
          <w:szCs w:val="24"/>
        </w:rPr>
        <w:t>% of tot</w:t>
      </w:r>
      <w:r w:rsidR="00636E5D">
        <w:rPr>
          <w:rFonts w:cs="Times New Roman"/>
          <w:sz w:val="24"/>
          <w:szCs w:val="24"/>
        </w:rPr>
        <w:t>al public sector debt. (</w:t>
      </w:r>
      <w:r w:rsidR="00392EA2">
        <w:rPr>
          <w:rFonts w:cs="Times New Roman"/>
          <w:sz w:val="24"/>
          <w:szCs w:val="24"/>
        </w:rPr>
        <w:t>Figure</w:t>
      </w:r>
      <w:r w:rsidR="00636E5D">
        <w:rPr>
          <w:rFonts w:cs="Times New Roman"/>
          <w:sz w:val="24"/>
          <w:szCs w:val="24"/>
        </w:rPr>
        <w:t xml:space="preserve"> 23</w:t>
      </w:r>
      <w:r w:rsidR="001F0670" w:rsidRPr="00BB3D52">
        <w:rPr>
          <w:rFonts w:cs="Times New Roman"/>
          <w:sz w:val="24"/>
          <w:szCs w:val="24"/>
        </w:rPr>
        <w:t>)</w:t>
      </w:r>
      <w:r w:rsidR="00636E5D" w:rsidRPr="00636E5D">
        <w:rPr>
          <w:noProof/>
          <w:lang w:eastAsia="en-029"/>
        </w:rPr>
        <w:t xml:space="preserve"> </w:t>
      </w:r>
    </w:p>
    <w:p w14:paraId="2318C3BB" w14:textId="77777777" w:rsidR="008F5CDA" w:rsidRPr="00BB3D52" w:rsidRDefault="00365B1B" w:rsidP="00E0795E">
      <w:pPr>
        <w:pStyle w:val="Heading2"/>
        <w:spacing w:line="360" w:lineRule="auto"/>
        <w:rPr>
          <w:rFonts w:cs="Times New Roman"/>
          <w:sz w:val="24"/>
          <w:szCs w:val="24"/>
        </w:rPr>
      </w:pPr>
      <w:bookmarkStart w:id="126" w:name="_Toc102558941"/>
      <w:r>
        <w:rPr>
          <w:rFonts w:cs="Times New Roman"/>
          <w:sz w:val="24"/>
          <w:szCs w:val="24"/>
        </w:rPr>
        <w:t>7</w:t>
      </w:r>
      <w:r w:rsidR="001F0670" w:rsidRPr="00BB3D52">
        <w:rPr>
          <w:rFonts w:cs="Times New Roman"/>
          <w:sz w:val="24"/>
          <w:szCs w:val="24"/>
        </w:rPr>
        <w:t>.6 Percentage of Debt maturing in 1 year</w:t>
      </w:r>
      <w:bookmarkEnd w:id="126"/>
      <w:r w:rsidR="001F0670" w:rsidRPr="00BB3D52">
        <w:rPr>
          <w:rFonts w:cs="Times New Roman"/>
          <w:sz w:val="24"/>
          <w:szCs w:val="24"/>
        </w:rPr>
        <w:t xml:space="preserve"> </w:t>
      </w:r>
    </w:p>
    <w:p w14:paraId="0819AEAF" w14:textId="77777777" w:rsidR="00CB2610" w:rsidRDefault="00365B1B" w:rsidP="00E0795E">
      <w:pPr>
        <w:spacing w:line="360" w:lineRule="auto"/>
        <w:jc w:val="both"/>
        <w:rPr>
          <w:rFonts w:cs="Times New Roman"/>
          <w:sz w:val="24"/>
          <w:szCs w:val="24"/>
        </w:rPr>
      </w:pPr>
      <w:r>
        <w:rPr>
          <w:noProof/>
          <w:lang w:val="en-US"/>
        </w:rPr>
        <mc:AlternateContent>
          <mc:Choice Requires="wps">
            <w:drawing>
              <wp:anchor distT="0" distB="0" distL="114300" distR="114300" simplePos="0" relativeHeight="251740160" behindDoc="0" locked="0" layoutInCell="1" allowOverlap="1" wp14:anchorId="2AD54CE0" wp14:editId="53F2ED4A">
                <wp:simplePos x="0" y="0"/>
                <wp:positionH relativeFrom="margin">
                  <wp:align>right</wp:align>
                </wp:positionH>
                <wp:positionV relativeFrom="paragraph">
                  <wp:posOffset>109855</wp:posOffset>
                </wp:positionV>
                <wp:extent cx="2600325" cy="219075"/>
                <wp:effectExtent l="0" t="0" r="9525" b="9525"/>
                <wp:wrapSquare wrapText="bothSides"/>
                <wp:docPr id="53" name="Text Box 53"/>
                <wp:cNvGraphicFramePr/>
                <a:graphic xmlns:a="http://schemas.openxmlformats.org/drawingml/2006/main">
                  <a:graphicData uri="http://schemas.microsoft.com/office/word/2010/wordprocessingShape">
                    <wps:wsp>
                      <wps:cNvSpPr txBox="1"/>
                      <wps:spPr>
                        <a:xfrm>
                          <a:off x="0" y="0"/>
                          <a:ext cx="2600325" cy="219075"/>
                        </a:xfrm>
                        <a:prstGeom prst="rect">
                          <a:avLst/>
                        </a:prstGeom>
                        <a:solidFill>
                          <a:prstClr val="white"/>
                        </a:solidFill>
                        <a:ln>
                          <a:noFill/>
                        </a:ln>
                        <a:effectLst/>
                      </wps:spPr>
                      <wps:txbx>
                        <w:txbxContent>
                          <w:p w14:paraId="16F85892" w14:textId="77777777" w:rsidR="005C750A" w:rsidRPr="0010713C" w:rsidRDefault="005C750A" w:rsidP="005F50C5">
                            <w:bookmarkStart w:id="127" w:name="_Toc102560692"/>
                            <w:r>
                              <w:t>Figure 24</w:t>
                            </w:r>
                            <w:r w:rsidRPr="0010713C">
                              <w:t>:</w:t>
                            </w:r>
                            <w:r>
                              <w:t xml:space="preserve"> Percentage of Debt maturing within the year 2021</w:t>
                            </w:r>
                            <w:bookmarkEnd w:id="127"/>
                          </w:p>
                          <w:p w14:paraId="506A8FE3" w14:textId="77777777" w:rsidR="005C750A" w:rsidRPr="00282F39" w:rsidRDefault="005C750A" w:rsidP="005F50C5">
                            <w:pPr>
                              <w:rPr>
                                <w:b/>
                                <w:noProof/>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AD54CE0" id="Text Box 53" o:spid="_x0000_s1054" type="#_x0000_t202" style="position:absolute;left:0;text-align:left;margin-left:153.55pt;margin-top:8.65pt;width:204.75pt;height:17.25pt;z-index:2517401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" stroked="f">
                <v:textbox inset="0,0,0,0">
                  <w:txbxContent>
                    <w:p w14:paraId="16F85892" w14:textId="77777777" w:rsidR="005C750A" w:rsidRPr="0010713C" w:rsidRDefault="005C750A" w:rsidP="005F50C5">
                      <w:bookmarkStart w:id="173" w:name="_Toc102560692"/>
                      <w:r>
                        <w:t>Figure 24</w:t>
                      </w:r>
                      <w:r w:rsidRPr="0010713C">
                        <w:t>:</w:t>
                      </w:r>
                      <w:r>
                        <w:t xml:space="preserve"> Percentage of Debt maturing within the year 2021</w:t>
                      </w:r>
                      <w:bookmarkEnd w:id="173"/>
                    </w:p>
                    <w:p w14:paraId="506A8FE3" w14:textId="77777777" w:rsidR="005C750A" w:rsidRPr="00282F39" w:rsidRDefault="005C750A" w:rsidP="005F50C5">
                      <w:pPr>
                        <w:rPr>
                          <w:b/>
                          <w:noProof/>
                          <w:szCs w:val="16"/>
                        </w:rPr>
                      </w:pPr>
                    </w:p>
                  </w:txbxContent>
                </v:textbox>
                <w10:wrap type="square" anchorx="margin"/>
              </v:shape>
            </w:pict>
          </mc:Fallback>
        </mc:AlternateContent>
      </w:r>
      <w:r>
        <w:rPr>
          <w:noProof/>
          <w:lang w:val="en-US"/>
        </w:rPr>
        <w:drawing>
          <wp:anchor distT="0" distB="0" distL="114300" distR="114300" simplePos="0" relativeHeight="251678720" behindDoc="0" locked="0" layoutInCell="1" allowOverlap="1" wp14:anchorId="29860767" wp14:editId="15D6B3E4">
            <wp:simplePos x="0" y="0"/>
            <wp:positionH relativeFrom="margin">
              <wp:align>right</wp:align>
            </wp:positionH>
            <wp:positionV relativeFrom="paragraph">
              <wp:posOffset>28575</wp:posOffset>
            </wp:positionV>
            <wp:extent cx="2743200" cy="1554480"/>
            <wp:effectExtent l="0" t="0" r="0" b="0"/>
            <wp:wrapSquare wrapText="bothSides"/>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r w:rsidR="00953BB2">
        <w:rPr>
          <w:rFonts w:cs="Times New Roman"/>
          <w:sz w:val="24"/>
          <w:szCs w:val="24"/>
        </w:rPr>
        <w:t>The p</w:t>
      </w:r>
      <w:r w:rsidR="001F0670" w:rsidRPr="00BB3D52">
        <w:rPr>
          <w:rFonts w:cs="Times New Roman"/>
          <w:sz w:val="24"/>
          <w:szCs w:val="24"/>
        </w:rPr>
        <w:t>ercentage of debt maturing in one year measures the share of principal repayments fall</w:t>
      </w:r>
      <w:r w:rsidR="006063A0" w:rsidRPr="00BB3D52">
        <w:rPr>
          <w:rFonts w:cs="Times New Roman"/>
          <w:sz w:val="24"/>
          <w:szCs w:val="24"/>
        </w:rPr>
        <w:t xml:space="preserve">ing due within the year. In </w:t>
      </w:r>
      <w:r>
        <w:rPr>
          <w:rFonts w:cs="Times New Roman"/>
          <w:sz w:val="24"/>
          <w:szCs w:val="24"/>
        </w:rPr>
        <w:t>2022</w:t>
      </w:r>
      <w:r w:rsidR="00636E5D" w:rsidRPr="00BB3D52">
        <w:rPr>
          <w:rFonts w:cs="Times New Roman"/>
          <w:sz w:val="24"/>
          <w:szCs w:val="24"/>
        </w:rPr>
        <w:t>,</w:t>
      </w:r>
      <w:r w:rsidR="006063A0" w:rsidRPr="00BB3D52">
        <w:rPr>
          <w:rFonts w:cs="Times New Roman"/>
          <w:sz w:val="24"/>
          <w:szCs w:val="24"/>
        </w:rPr>
        <w:t xml:space="preserve"> 16.03</w:t>
      </w:r>
      <w:r w:rsidR="001F0670" w:rsidRPr="00BB3D52">
        <w:rPr>
          <w:rFonts w:cs="Times New Roman"/>
          <w:sz w:val="24"/>
          <w:szCs w:val="24"/>
        </w:rPr>
        <w:t>% of the central government debt portfolio will mature within one year.</w:t>
      </w:r>
      <w:r w:rsidR="001F0670" w:rsidRPr="00BB3D52">
        <w:rPr>
          <w:rFonts w:cs="Times New Roman"/>
          <w:color w:val="FF0000"/>
          <w:sz w:val="24"/>
          <w:szCs w:val="24"/>
        </w:rPr>
        <w:t xml:space="preserve"> </w:t>
      </w:r>
      <w:r w:rsidR="001F0670" w:rsidRPr="00BB3D52">
        <w:rPr>
          <w:rFonts w:cs="Times New Roman"/>
          <w:sz w:val="24"/>
          <w:szCs w:val="24"/>
        </w:rPr>
        <w:t>Debt maturin</w:t>
      </w:r>
      <w:r w:rsidR="00A95BCC" w:rsidRPr="00BB3D52">
        <w:rPr>
          <w:rFonts w:cs="Times New Roman"/>
          <w:sz w:val="24"/>
          <w:szCs w:val="24"/>
        </w:rPr>
        <w:t xml:space="preserve">g </w:t>
      </w:r>
      <w:r w:rsidR="00F8729A" w:rsidRPr="00BB3D52">
        <w:rPr>
          <w:rFonts w:cs="Times New Roman"/>
          <w:sz w:val="24"/>
          <w:szCs w:val="24"/>
        </w:rPr>
        <w:t>within the year averaged 19.9</w:t>
      </w:r>
      <w:r w:rsidR="00A95BCC" w:rsidRPr="00BB3D52">
        <w:rPr>
          <w:rFonts w:cs="Times New Roman"/>
          <w:sz w:val="24"/>
          <w:szCs w:val="24"/>
        </w:rPr>
        <w:t>% over the previous</w:t>
      </w:r>
      <w:r w:rsidR="001F0670" w:rsidRPr="00BB3D52">
        <w:rPr>
          <w:rFonts w:cs="Times New Roman"/>
          <w:sz w:val="24"/>
          <w:szCs w:val="24"/>
        </w:rPr>
        <w:t xml:space="preserve"> five years</w:t>
      </w:r>
      <w:r w:rsidR="00A95BCC" w:rsidRPr="00BB3D52">
        <w:rPr>
          <w:rFonts w:cs="Times New Roman"/>
          <w:sz w:val="24"/>
          <w:szCs w:val="24"/>
        </w:rPr>
        <w:t xml:space="preserve">, declining by an </w:t>
      </w:r>
      <w:r w:rsidR="00F8729A" w:rsidRPr="00BB3D52">
        <w:rPr>
          <w:rFonts w:cs="Times New Roman"/>
          <w:sz w:val="24"/>
          <w:szCs w:val="24"/>
        </w:rPr>
        <w:t>average of 8.0% from 2017 to 2021</w:t>
      </w:r>
      <w:r w:rsidR="001F0670" w:rsidRPr="00BB3D52">
        <w:rPr>
          <w:rFonts w:cs="Times New Roman"/>
          <w:sz w:val="24"/>
          <w:szCs w:val="24"/>
        </w:rPr>
        <w:t xml:space="preserve"> due to the </w:t>
      </w:r>
      <w:r w:rsidR="00DD5C0B">
        <w:rPr>
          <w:rFonts w:cs="Times New Roman"/>
          <w:sz w:val="24"/>
          <w:szCs w:val="24"/>
        </w:rPr>
        <w:t>GOSL</w:t>
      </w:r>
      <w:r w:rsidR="001F0670" w:rsidRPr="00BB3D52">
        <w:rPr>
          <w:rFonts w:cs="Times New Roman"/>
          <w:sz w:val="24"/>
          <w:szCs w:val="24"/>
        </w:rPr>
        <w:t>'s strategy of rolling over shorter-term instruments i</w:t>
      </w:r>
      <w:r w:rsidR="00636E5D">
        <w:rPr>
          <w:rFonts w:cs="Times New Roman"/>
          <w:sz w:val="24"/>
          <w:szCs w:val="24"/>
        </w:rPr>
        <w:t>nto medium-term notes. (</w:t>
      </w:r>
      <w:r w:rsidR="00392EA2">
        <w:rPr>
          <w:rFonts w:cs="Times New Roman"/>
          <w:sz w:val="24"/>
          <w:szCs w:val="24"/>
        </w:rPr>
        <w:t>Figure</w:t>
      </w:r>
      <w:r w:rsidR="00636E5D">
        <w:rPr>
          <w:rFonts w:cs="Times New Roman"/>
          <w:sz w:val="24"/>
          <w:szCs w:val="24"/>
        </w:rPr>
        <w:t xml:space="preserve"> 24)</w:t>
      </w:r>
    </w:p>
    <w:p w14:paraId="5C4F2991" w14:textId="77777777" w:rsidR="00AA4D01" w:rsidRPr="00447B6D" w:rsidRDefault="00365B1B" w:rsidP="00447B6D">
      <w:pPr>
        <w:pStyle w:val="Heading2"/>
        <w:spacing w:line="360" w:lineRule="auto"/>
        <w:rPr>
          <w:rFonts w:cs="Times New Roman"/>
          <w:sz w:val="24"/>
          <w:szCs w:val="24"/>
        </w:rPr>
      </w:pPr>
      <w:bookmarkStart w:id="128" w:name="_Toc53062556"/>
      <w:bookmarkStart w:id="129" w:name="_Toc102558942"/>
      <w:r>
        <w:rPr>
          <w:rFonts w:cs="Times New Roman"/>
          <w:sz w:val="24"/>
          <w:szCs w:val="24"/>
        </w:rPr>
        <w:t>7.7</w:t>
      </w:r>
      <w:r w:rsidRPr="00AD7BDE">
        <w:rPr>
          <w:rFonts w:cs="Times New Roman"/>
          <w:sz w:val="24"/>
          <w:szCs w:val="24"/>
        </w:rPr>
        <w:t xml:space="preserve"> Redemption Profile</w:t>
      </w:r>
      <w:bookmarkEnd w:id="128"/>
      <w:r>
        <w:rPr>
          <w:rStyle w:val="FootnoteReference"/>
          <w:rFonts w:cs="Times New Roman"/>
          <w:sz w:val="24"/>
          <w:szCs w:val="24"/>
        </w:rPr>
        <w:footnoteReference w:id="3"/>
      </w:r>
      <w:bookmarkEnd w:id="129"/>
    </w:p>
    <w:p w14:paraId="63FA9024" w14:textId="77777777" w:rsidR="00AA4D01" w:rsidRPr="00BB3D52" w:rsidRDefault="00AA4D01" w:rsidP="00E0795E">
      <w:pPr>
        <w:spacing w:line="360" w:lineRule="auto"/>
        <w:rPr>
          <w:rFonts w:cs="Times New Roman"/>
          <w:b/>
          <w:color w:val="0070C0"/>
          <w:sz w:val="24"/>
          <w:szCs w:val="24"/>
        </w:rPr>
        <w:sectPr w:rsidR="00AA4D01" w:rsidRPr="00BB3D52" w:rsidSect="00A04A31">
          <w:footerReference w:type="default" r:id="rId36"/>
          <w:type w:val="continuous"/>
          <w:pgSz w:w="12240" w:h="15840" w:code="1"/>
          <w:pgMar w:top="1440" w:right="1440" w:bottom="1440" w:left="1440" w:header="720" w:footer="720" w:gutter="0"/>
          <w:pgNumType w:start="0"/>
          <w:cols w:space="720"/>
          <w:titlePg/>
          <w:docGrid w:linePitch="360"/>
          <w15:footnoteColumns w:val="1"/>
        </w:sectPr>
      </w:pPr>
    </w:p>
    <w:p w14:paraId="1E78A792" w14:textId="77777777" w:rsidR="00AA4D01" w:rsidRPr="00BB3D52" w:rsidRDefault="00365B1B" w:rsidP="00E0795E">
      <w:pPr>
        <w:spacing w:line="360" w:lineRule="auto"/>
        <w:jc w:val="both"/>
        <w:rPr>
          <w:rFonts w:cs="Times New Roman"/>
          <w:sz w:val="24"/>
          <w:szCs w:val="24"/>
        </w:rPr>
      </w:pPr>
      <w:r>
        <w:rPr>
          <w:noProof/>
          <w:lang w:val="en-US"/>
        </w:rPr>
        <mc:AlternateContent>
          <mc:Choice Requires="wps">
            <w:drawing>
              <wp:anchor distT="0" distB="0" distL="114300" distR="114300" simplePos="0" relativeHeight="251741184" behindDoc="0" locked="0" layoutInCell="1" allowOverlap="1" wp14:anchorId="68BFF184" wp14:editId="26A13DEE">
                <wp:simplePos x="0" y="0"/>
                <wp:positionH relativeFrom="margin">
                  <wp:posOffset>2019935</wp:posOffset>
                </wp:positionH>
                <wp:positionV relativeFrom="paragraph">
                  <wp:posOffset>1336288</wp:posOffset>
                </wp:positionV>
                <wp:extent cx="2171700" cy="114300"/>
                <wp:effectExtent l="0" t="0" r="0" b="0"/>
                <wp:wrapSquare wrapText="bothSides"/>
                <wp:docPr id="54" name="Text Box 54"/>
                <wp:cNvGraphicFramePr/>
                <a:graphic xmlns:a="http://schemas.openxmlformats.org/drawingml/2006/main">
                  <a:graphicData uri="http://schemas.microsoft.com/office/word/2010/wordprocessingShape">
                    <wps:wsp>
                      <wps:cNvSpPr txBox="1"/>
                      <wps:spPr>
                        <a:xfrm>
                          <a:off x="0" y="0"/>
                          <a:ext cx="2171700" cy="114300"/>
                        </a:xfrm>
                        <a:prstGeom prst="rect">
                          <a:avLst/>
                        </a:prstGeom>
                        <a:noFill/>
                        <a:ln>
                          <a:noFill/>
                        </a:ln>
                        <a:effectLst/>
                      </wps:spPr>
                      <wps:txbx>
                        <w:txbxContent>
                          <w:p w14:paraId="7016F197" w14:textId="77777777" w:rsidR="005C750A" w:rsidRPr="00282F39" w:rsidRDefault="005C750A" w:rsidP="005F50C5">
                            <w:bookmarkStart w:id="130" w:name="_Toc102559794"/>
                            <w:bookmarkStart w:id="131" w:name="_Toc102560693"/>
                            <w:r w:rsidRPr="00282F39">
                              <w:t>Figure</w:t>
                            </w:r>
                            <w:r w:rsidRPr="00F23B1D">
                              <w:t xml:space="preserve"> </w:t>
                            </w:r>
                            <w:r w:rsidR="002E1637">
                              <w:fldChar w:fldCharType="begin"/>
                            </w:r>
                            <w:r w:rsidR="002E1637">
                              <w:instrText xml:space="preserve"> SEQ Figure \* ARABIC </w:instrText>
                            </w:r>
                            <w:r w:rsidR="002E1637">
                              <w:fldChar w:fldCharType="separate"/>
                            </w:r>
                            <w:r>
                              <w:rPr>
                                <w:noProof/>
                              </w:rPr>
                              <w:t>24</w:t>
                            </w:r>
                            <w:r w:rsidR="002E1637">
                              <w:rPr>
                                <w:noProof/>
                              </w:rPr>
                              <w:fldChar w:fldCharType="end"/>
                            </w:r>
                            <w:r w:rsidRPr="00282F39">
                              <w:t>: Redemption Profile 2022-2050</w:t>
                            </w:r>
                            <w:bookmarkEnd w:id="130"/>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8BFF184" id="Text Box 54" o:spid="_x0000_s1055" type="#_x0000_t202" style="position:absolute;left:0;text-align:left;margin-left:159.05pt;margin-top:105.2pt;width:171pt;height:9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" filled="f" stroked="f">
                <v:textbox inset="0,0,0,0">
                  <w:txbxContent>
                    <w:p w14:paraId="7016F197" w14:textId="77777777" w:rsidR="005C750A" w:rsidRPr="00282F39" w:rsidRDefault="005C750A" w:rsidP="005F50C5">
                      <w:bookmarkStart w:id="178" w:name="_Toc102559794"/>
                      <w:bookmarkStart w:id="179" w:name="_Toc102560693"/>
                      <w:r w:rsidRPr="00282F39">
                        <w:t>Figure</w:t>
                      </w:r>
                      <w:r w:rsidRPr="00F23B1D">
                        <w:t xml:space="preserve"> </w:t>
                      </w:r>
                      <w:fldSimple w:instr=" SEQ Figure \* ARABIC ">
                        <w:r>
                          <w:rPr>
                            <w:noProof/>
                          </w:rPr>
                          <w:t>24</w:t>
                        </w:r>
                      </w:fldSimple>
                      <w:r w:rsidRPr="00282F39">
                        <w:t>: Redemption Profile 2022-2050</w:t>
                      </w:r>
                      <w:bookmarkEnd w:id="178"/>
                      <w:bookmarkEnd w:id="179"/>
                    </w:p>
                  </w:txbxContent>
                </v:textbox>
                <w10:wrap type="square" anchorx="margin"/>
              </v:shape>
            </w:pict>
          </mc:Fallback>
        </mc:AlternateContent>
      </w:r>
      <w:r>
        <w:rPr>
          <w:noProof/>
          <w:lang w:val="en-US"/>
        </w:rPr>
        <w:drawing>
          <wp:anchor distT="0" distB="0" distL="114300" distR="114300" simplePos="0" relativeHeight="251682816" behindDoc="0" locked="0" layoutInCell="1" allowOverlap="1" wp14:anchorId="12D1994C" wp14:editId="0DF2B72E">
            <wp:simplePos x="0" y="0"/>
            <wp:positionH relativeFrom="margin">
              <wp:posOffset>-28575</wp:posOffset>
            </wp:positionH>
            <wp:positionV relativeFrom="paragraph">
              <wp:posOffset>1277620</wp:posOffset>
            </wp:positionV>
            <wp:extent cx="5943600" cy="2180590"/>
            <wp:effectExtent l="0" t="0" r="0"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anchor>
        </w:drawing>
      </w:r>
      <w:r w:rsidR="00AA4D01" w:rsidRPr="00BB3D52">
        <w:rPr>
          <w:rFonts w:cs="Times New Roman"/>
          <w:sz w:val="24"/>
          <w:szCs w:val="24"/>
        </w:rPr>
        <w:t xml:space="preserve">A maturity (redemption) profile shows the evolution of the </w:t>
      </w:r>
      <w:r w:rsidR="00DD5C0B">
        <w:rPr>
          <w:rFonts w:cs="Times New Roman"/>
          <w:sz w:val="24"/>
          <w:szCs w:val="24"/>
        </w:rPr>
        <w:t>GOSL</w:t>
      </w:r>
      <w:r w:rsidR="00AA4D01" w:rsidRPr="00BB3D52">
        <w:rPr>
          <w:rFonts w:cs="Times New Roman"/>
          <w:sz w:val="24"/>
          <w:szCs w:val="24"/>
        </w:rPr>
        <w:t xml:space="preserve">’s debt stock based on the time remaining to </w:t>
      </w:r>
      <w:r w:rsidR="00AA4D01">
        <w:rPr>
          <w:rFonts w:cs="Times New Roman"/>
          <w:sz w:val="24"/>
          <w:szCs w:val="24"/>
        </w:rPr>
        <w:t xml:space="preserve">the scheduled maturity. </w:t>
      </w:r>
      <w:r w:rsidR="00AA4D01" w:rsidRPr="00BB3D52">
        <w:rPr>
          <w:rFonts w:cs="Times New Roman"/>
          <w:sz w:val="24"/>
          <w:szCs w:val="24"/>
        </w:rPr>
        <w:t xml:space="preserve">The redemption profile is dominated by large debt service payments during 2022 </w:t>
      </w:r>
      <w:r w:rsidRPr="00365B1B">
        <w:rPr>
          <w:rFonts w:cs="Times New Roman"/>
          <w:sz w:val="24"/>
          <w:szCs w:val="24"/>
        </w:rPr>
        <w:t xml:space="preserve">due to the </w:t>
      </w:r>
      <w:r>
        <w:rPr>
          <w:rFonts w:cs="Times New Roman"/>
          <w:sz w:val="24"/>
          <w:szCs w:val="24"/>
        </w:rPr>
        <w:t xml:space="preserve">16.0% of debt maturing within the year including the entire Treasury bill stock maturing. There is a </w:t>
      </w:r>
      <w:r w:rsidR="00AA4D01" w:rsidRPr="00BB3D52">
        <w:rPr>
          <w:rFonts w:cs="Times New Roman"/>
          <w:sz w:val="24"/>
          <w:szCs w:val="24"/>
        </w:rPr>
        <w:t>more homogen</w:t>
      </w:r>
      <w:r>
        <w:rPr>
          <w:rFonts w:cs="Times New Roman"/>
          <w:sz w:val="24"/>
          <w:szCs w:val="24"/>
        </w:rPr>
        <w:t xml:space="preserve">eous distribution from 2023 to 2031 </w:t>
      </w:r>
      <w:r w:rsidR="00CB2610">
        <w:rPr>
          <w:rFonts w:cs="Times New Roman"/>
          <w:sz w:val="24"/>
          <w:szCs w:val="24"/>
        </w:rPr>
        <w:t>(</w:t>
      </w:r>
      <w:r w:rsidR="00392EA2">
        <w:rPr>
          <w:rFonts w:cs="Times New Roman"/>
          <w:sz w:val="24"/>
          <w:szCs w:val="24"/>
        </w:rPr>
        <w:t>Figure</w:t>
      </w:r>
      <w:r w:rsidR="00CB2610">
        <w:rPr>
          <w:rFonts w:cs="Times New Roman"/>
          <w:sz w:val="24"/>
          <w:szCs w:val="24"/>
        </w:rPr>
        <w:t xml:space="preserve"> 25</w:t>
      </w:r>
      <w:r w:rsidR="00AA4D01" w:rsidRPr="00BB3D52">
        <w:rPr>
          <w:rFonts w:cs="Times New Roman"/>
          <w:sz w:val="24"/>
          <w:szCs w:val="24"/>
        </w:rPr>
        <w:t>)</w:t>
      </w:r>
      <w:r w:rsidR="00C555A6" w:rsidRPr="00C555A6">
        <w:rPr>
          <w:noProof/>
          <w:lang w:eastAsia="en-029"/>
        </w:rPr>
        <w:t xml:space="preserve"> </w:t>
      </w:r>
      <w:r w:rsidR="00AA4D01" w:rsidRPr="00FE39DB">
        <w:rPr>
          <w:noProof/>
          <w:lang w:eastAsia="en-029"/>
        </w:rPr>
        <w:t xml:space="preserve"> </w:t>
      </w:r>
      <w:r w:rsidR="00AA4D01" w:rsidRPr="00BB3D52">
        <w:rPr>
          <w:rFonts w:cs="Times New Roman"/>
          <w:sz w:val="24"/>
          <w:szCs w:val="24"/>
        </w:rPr>
        <w:t xml:space="preserve"> </w:t>
      </w:r>
    </w:p>
    <w:p w14:paraId="15C1547F" w14:textId="77777777" w:rsidR="00AA4D01" w:rsidRPr="00BB3D52" w:rsidRDefault="00AA4D01" w:rsidP="00E0795E">
      <w:pPr>
        <w:spacing w:line="360" w:lineRule="auto"/>
        <w:jc w:val="both"/>
        <w:rPr>
          <w:rFonts w:cs="Times New Roman"/>
          <w:sz w:val="24"/>
          <w:szCs w:val="24"/>
        </w:rPr>
      </w:pPr>
    </w:p>
    <w:p w14:paraId="34D3586A" w14:textId="77777777" w:rsidR="00F8729A" w:rsidRPr="00BB3D52" w:rsidRDefault="00F8729A" w:rsidP="00E0795E">
      <w:pPr>
        <w:spacing w:line="360" w:lineRule="auto"/>
        <w:jc w:val="both"/>
        <w:rPr>
          <w:rFonts w:cs="Times New Roman"/>
          <w:sz w:val="24"/>
          <w:szCs w:val="24"/>
        </w:rPr>
      </w:pPr>
    </w:p>
    <w:p w14:paraId="2AF3B0E7" w14:textId="77777777" w:rsidR="00C22E8A" w:rsidRPr="00BB3D52" w:rsidRDefault="00365B1B" w:rsidP="00E0795E">
      <w:pPr>
        <w:pStyle w:val="Heading1"/>
        <w:spacing w:line="360" w:lineRule="auto"/>
        <w:rPr>
          <w:rFonts w:cs="Times New Roman"/>
          <w:sz w:val="24"/>
          <w:szCs w:val="24"/>
        </w:rPr>
      </w:pPr>
      <w:bookmarkStart w:id="132" w:name="_Toc102558943"/>
      <w:bookmarkStart w:id="133" w:name="_Toc947413"/>
      <w:r>
        <w:rPr>
          <w:rFonts w:cs="Times New Roman"/>
          <w:sz w:val="24"/>
          <w:szCs w:val="24"/>
        </w:rPr>
        <w:t>8</w:t>
      </w:r>
      <w:r w:rsidR="00E635D2" w:rsidRPr="00BB3D52">
        <w:rPr>
          <w:rFonts w:cs="Times New Roman"/>
          <w:sz w:val="24"/>
          <w:szCs w:val="24"/>
        </w:rPr>
        <w:t>. Contingent Liabilities</w:t>
      </w:r>
      <w:r>
        <w:rPr>
          <w:rFonts w:cs="Times New Roman"/>
          <w:sz w:val="24"/>
          <w:szCs w:val="24"/>
          <w:vertAlign w:val="superscript"/>
        </w:rPr>
        <w:footnoteReference w:id="4"/>
      </w:r>
      <w:bookmarkEnd w:id="132"/>
    </w:p>
    <w:p w14:paraId="61D651F3" w14:textId="77777777" w:rsidR="00C22E8A" w:rsidRPr="00BB3D52" w:rsidRDefault="00365B1B" w:rsidP="00E0795E">
      <w:pPr>
        <w:pStyle w:val="Heading2"/>
        <w:spacing w:line="360" w:lineRule="auto"/>
        <w:rPr>
          <w:rFonts w:cs="Times New Roman"/>
          <w:sz w:val="24"/>
          <w:szCs w:val="24"/>
        </w:rPr>
      </w:pPr>
      <w:bookmarkStart w:id="134" w:name="_Toc25229007"/>
      <w:bookmarkStart w:id="135" w:name="_Toc102558944"/>
      <w:r w:rsidRPr="00BB3D52">
        <w:rPr>
          <w:rFonts w:cs="Times New Roman"/>
          <w:sz w:val="24"/>
          <w:szCs w:val="24"/>
        </w:rPr>
        <w:t>8</w:t>
      </w:r>
      <w:r w:rsidR="009D196F" w:rsidRPr="00BB3D52">
        <w:rPr>
          <w:rFonts w:cs="Times New Roman"/>
          <w:sz w:val="24"/>
          <w:szCs w:val="24"/>
        </w:rPr>
        <w:t>.1 Contingent Liabilit</w:t>
      </w:r>
      <w:bookmarkStart w:id="136" w:name="_Toc24984470"/>
      <w:bookmarkEnd w:id="133"/>
      <w:bookmarkEnd w:id="134"/>
      <w:r w:rsidR="00FE39DB">
        <w:rPr>
          <w:rFonts w:cs="Times New Roman"/>
          <w:sz w:val="24"/>
          <w:szCs w:val="24"/>
        </w:rPr>
        <w:t>ies</w:t>
      </w:r>
      <w:r w:rsidR="00917973" w:rsidRPr="00BB3D52">
        <w:rPr>
          <w:rFonts w:cs="Times New Roman"/>
          <w:sz w:val="24"/>
          <w:szCs w:val="24"/>
        </w:rPr>
        <w:t xml:space="preserve"> by </w:t>
      </w:r>
      <w:r w:rsidR="00B71114" w:rsidRPr="00BB3D52">
        <w:rPr>
          <w:rFonts w:cs="Times New Roman"/>
          <w:sz w:val="24"/>
          <w:szCs w:val="24"/>
        </w:rPr>
        <w:t>Guarantee Status</w:t>
      </w:r>
      <w:bookmarkEnd w:id="135"/>
    </w:p>
    <w:p w14:paraId="7612D4C7" w14:textId="77777777" w:rsidR="00774254" w:rsidRPr="00BB3D52" w:rsidRDefault="00365B1B" w:rsidP="00E0795E">
      <w:pPr>
        <w:spacing w:line="360" w:lineRule="auto"/>
        <w:jc w:val="both"/>
        <w:rPr>
          <w:rFonts w:cs="Times New Roman"/>
          <w:sz w:val="24"/>
          <w:szCs w:val="24"/>
        </w:rPr>
      </w:pPr>
      <w:r>
        <w:rPr>
          <w:noProof/>
          <w:lang w:val="en-US"/>
        </w:rPr>
        <mc:AlternateContent>
          <mc:Choice Requires="wps">
            <w:drawing>
              <wp:anchor distT="0" distB="0" distL="114300" distR="114300" simplePos="0" relativeHeight="251743232" behindDoc="0" locked="0" layoutInCell="1" allowOverlap="1" wp14:anchorId="336A0686" wp14:editId="05891FF8">
                <wp:simplePos x="0" y="0"/>
                <wp:positionH relativeFrom="margin">
                  <wp:posOffset>3047365</wp:posOffset>
                </wp:positionH>
                <wp:positionV relativeFrom="paragraph">
                  <wp:posOffset>10795</wp:posOffset>
                </wp:positionV>
                <wp:extent cx="2752725" cy="257175"/>
                <wp:effectExtent l="0" t="0" r="9525" b="9525"/>
                <wp:wrapSquare wrapText="bothSides"/>
                <wp:docPr id="55" name="Text Box 55"/>
                <wp:cNvGraphicFramePr/>
                <a:graphic xmlns:a="http://schemas.openxmlformats.org/drawingml/2006/main">
                  <a:graphicData uri="http://schemas.microsoft.com/office/word/2010/wordprocessingShape">
                    <wps:wsp>
                      <wps:cNvSpPr txBox="1"/>
                      <wps:spPr>
                        <a:xfrm>
                          <a:off x="0" y="0"/>
                          <a:ext cx="2752725" cy="257175"/>
                        </a:xfrm>
                        <a:prstGeom prst="rect">
                          <a:avLst/>
                        </a:prstGeom>
                        <a:solidFill>
                          <a:prstClr val="white"/>
                        </a:solidFill>
                        <a:ln>
                          <a:noFill/>
                        </a:ln>
                        <a:effectLst/>
                      </wps:spPr>
                      <wps:txbx>
                        <w:txbxContent>
                          <w:p w14:paraId="029FFE26" w14:textId="77777777" w:rsidR="005C750A" w:rsidRPr="0010713C" w:rsidRDefault="005C750A" w:rsidP="005F50C5">
                            <w:bookmarkStart w:id="137" w:name="_Toc102560694"/>
                            <w:r w:rsidRPr="0010713C">
                              <w:t xml:space="preserve">Figure </w:t>
                            </w:r>
                            <w:r w:rsidR="002E1637">
                              <w:fldChar w:fldCharType="begin"/>
                            </w:r>
                            <w:r w:rsidR="002E1637">
                              <w:instrText xml:space="preserve"> SEQ Figure \* ARABIC </w:instrText>
                            </w:r>
                            <w:r w:rsidR="002E1637">
                              <w:fldChar w:fldCharType="separate"/>
                            </w:r>
                            <w:r>
                              <w:rPr>
                                <w:noProof/>
                              </w:rPr>
                              <w:t>25</w:t>
                            </w:r>
                            <w:r w:rsidR="002E1637">
                              <w:rPr>
                                <w:noProof/>
                              </w:rPr>
                              <w:fldChar w:fldCharType="end"/>
                            </w:r>
                            <w:r w:rsidRPr="0010713C">
                              <w:t>: Contingent Liabilities by Guarantee Status 2017-2021</w:t>
                            </w:r>
                            <w:bookmarkEnd w:id="137"/>
                          </w:p>
                          <w:p w14:paraId="4EE59DDE" w14:textId="77777777" w:rsidR="005C750A" w:rsidRPr="0010713C" w:rsidRDefault="005C750A" w:rsidP="00282F39">
                            <w:pPr>
                              <w:pStyle w:val="Caption"/>
                              <w:rPr>
                                <w:rFonts w:cs="Times New Roman"/>
                                <w:b w:val="0"/>
                                <w:color w:val="auto"/>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36A0686" id="Text Box 55" o:spid="_x0000_s1056" type="#_x0000_t202" style="position:absolute;left:0;text-align:left;margin-left:239.95pt;margin-top:.85pt;width:216.75pt;height:20.25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" stroked="f">
                <v:textbox inset="0,0,0,0">
                  <w:txbxContent>
                    <w:p w14:paraId="029FFE26" w14:textId="77777777" w:rsidR="005C750A" w:rsidRPr="0010713C" w:rsidRDefault="005C750A" w:rsidP="005F50C5">
                      <w:bookmarkStart w:id="186" w:name="_Toc102560694"/>
                      <w:r w:rsidRPr="0010713C">
                        <w:t xml:space="preserve">Figure </w:t>
                      </w:r>
                      <w:fldSimple w:instr=" SEQ Figure \* ARABIC ">
                        <w:r>
                          <w:rPr>
                            <w:noProof/>
                          </w:rPr>
                          <w:t>25</w:t>
                        </w:r>
                      </w:fldSimple>
                      <w:r w:rsidRPr="0010713C">
                        <w:t>: Contingent Liabilities by Guarantee Status 2017-2021</w:t>
                      </w:r>
                      <w:bookmarkEnd w:id="186"/>
                    </w:p>
                    <w:p w14:paraId="4EE59DDE" w14:textId="77777777" w:rsidR="005C750A" w:rsidRPr="0010713C" w:rsidRDefault="005C750A" w:rsidP="00282F39">
                      <w:pPr>
                        <w:pStyle w:val="Caption"/>
                        <w:rPr>
                          <w:rFonts w:cs="Times New Roman"/>
                          <w:b w:val="0"/>
                          <w:color w:val="auto"/>
                          <w:szCs w:val="16"/>
                          <w:lang w:val="en-US"/>
                        </w:rPr>
                      </w:pPr>
                    </w:p>
                  </w:txbxContent>
                </v:textbox>
                <w10:wrap type="square" anchorx="margin"/>
              </v:shape>
            </w:pict>
          </mc:Fallback>
        </mc:AlternateContent>
      </w:r>
      <w:r w:rsidR="00636E5D">
        <w:rPr>
          <w:noProof/>
          <w:lang w:val="en-US"/>
        </w:rPr>
        <w:drawing>
          <wp:anchor distT="0" distB="0" distL="114300" distR="114300" simplePos="0" relativeHeight="251679744" behindDoc="0" locked="0" layoutInCell="1" allowOverlap="1" wp14:anchorId="789C2609" wp14:editId="196C2946">
            <wp:simplePos x="0" y="0"/>
            <wp:positionH relativeFrom="margin">
              <wp:align>right</wp:align>
            </wp:positionH>
            <wp:positionV relativeFrom="paragraph">
              <wp:posOffset>13335</wp:posOffset>
            </wp:positionV>
            <wp:extent cx="3291840" cy="2011680"/>
            <wp:effectExtent l="0" t="0" r="0" b="0"/>
            <wp:wrapSquare wrapText="bothSides"/>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r w:rsidR="00950820" w:rsidRPr="00BB3D52">
        <w:rPr>
          <w:rFonts w:cs="Times New Roman"/>
          <w:sz w:val="24"/>
          <w:szCs w:val="24"/>
        </w:rPr>
        <w:t>At the end of 2021</w:t>
      </w:r>
      <w:r w:rsidR="00D40731" w:rsidRPr="00BB3D52">
        <w:rPr>
          <w:rFonts w:cs="Times New Roman"/>
          <w:sz w:val="24"/>
          <w:szCs w:val="24"/>
        </w:rPr>
        <w:t xml:space="preserve">, the government guaranteed </w:t>
      </w:r>
      <w:r w:rsidR="005104E3" w:rsidRPr="00BB3D52">
        <w:rPr>
          <w:rFonts w:cs="Times New Roman"/>
          <w:sz w:val="24"/>
          <w:szCs w:val="24"/>
        </w:rPr>
        <w:t>debt stock contributed $270.87</w:t>
      </w:r>
      <w:r w:rsidR="000A26F6" w:rsidRPr="00BB3D52">
        <w:rPr>
          <w:rFonts w:cs="Times New Roman"/>
          <w:sz w:val="24"/>
          <w:szCs w:val="24"/>
        </w:rPr>
        <w:t>M or 99.9</w:t>
      </w:r>
      <w:r w:rsidR="00917973" w:rsidRPr="00BB3D52">
        <w:rPr>
          <w:rFonts w:cs="Times New Roman"/>
          <w:sz w:val="24"/>
          <w:szCs w:val="24"/>
        </w:rPr>
        <w:t xml:space="preserve">% of the </w:t>
      </w:r>
      <w:r w:rsidR="00D40731" w:rsidRPr="00BB3D52">
        <w:rPr>
          <w:rFonts w:cs="Times New Roman"/>
          <w:sz w:val="24"/>
          <w:szCs w:val="24"/>
        </w:rPr>
        <w:t>contingent liability portfolio while non-g</w:t>
      </w:r>
      <w:r w:rsidR="005104E3" w:rsidRPr="00BB3D52">
        <w:rPr>
          <w:rFonts w:cs="Times New Roman"/>
          <w:sz w:val="24"/>
          <w:szCs w:val="24"/>
        </w:rPr>
        <w:t>uaranteed debt contributed $0.20</w:t>
      </w:r>
      <w:r w:rsidR="00D40731" w:rsidRPr="00BB3D52">
        <w:rPr>
          <w:rFonts w:cs="Times New Roman"/>
          <w:sz w:val="24"/>
          <w:szCs w:val="24"/>
        </w:rPr>
        <w:t>M</w:t>
      </w:r>
      <w:r>
        <w:rPr>
          <w:rStyle w:val="FootnoteReference"/>
          <w:rFonts w:cs="Times New Roman"/>
          <w:sz w:val="24"/>
          <w:szCs w:val="24"/>
        </w:rPr>
        <w:footnoteReference w:id="5"/>
      </w:r>
      <w:r w:rsidR="000A26F6" w:rsidRPr="00BB3D52">
        <w:rPr>
          <w:rFonts w:cs="Times New Roman"/>
          <w:sz w:val="24"/>
          <w:szCs w:val="24"/>
        </w:rPr>
        <w:t xml:space="preserve"> or 0.1</w:t>
      </w:r>
      <w:r w:rsidR="00D40731" w:rsidRPr="00BB3D52">
        <w:rPr>
          <w:rFonts w:cs="Times New Roman"/>
          <w:sz w:val="24"/>
          <w:szCs w:val="24"/>
        </w:rPr>
        <w:t xml:space="preserve">%. Contingent </w:t>
      </w:r>
      <w:r w:rsidR="00B71114" w:rsidRPr="00BB3D52">
        <w:rPr>
          <w:rFonts w:cs="Times New Roman"/>
          <w:sz w:val="24"/>
          <w:szCs w:val="24"/>
        </w:rPr>
        <w:t>liabilities averaged</w:t>
      </w:r>
      <w:r w:rsidR="00774254" w:rsidRPr="00BB3D52">
        <w:rPr>
          <w:rFonts w:cs="Times New Roman"/>
          <w:sz w:val="24"/>
          <w:szCs w:val="24"/>
        </w:rPr>
        <w:t xml:space="preserve"> 6.0</w:t>
      </w:r>
      <w:r w:rsidR="001F0670" w:rsidRPr="00BB3D52">
        <w:rPr>
          <w:rFonts w:cs="Times New Roman"/>
          <w:sz w:val="24"/>
          <w:szCs w:val="24"/>
        </w:rPr>
        <w:t xml:space="preserve">% of the </w:t>
      </w:r>
      <w:r w:rsidR="00917973" w:rsidRPr="00BB3D52">
        <w:rPr>
          <w:rFonts w:cs="Times New Roman"/>
          <w:sz w:val="24"/>
          <w:szCs w:val="24"/>
        </w:rPr>
        <w:t>total public sector debt stock</w:t>
      </w:r>
      <w:r w:rsidR="00B71114" w:rsidRPr="00BB3D52">
        <w:rPr>
          <w:rFonts w:cs="Times New Roman"/>
          <w:sz w:val="24"/>
          <w:szCs w:val="24"/>
        </w:rPr>
        <w:t xml:space="preserve"> fr</w:t>
      </w:r>
      <w:r w:rsidR="00774254" w:rsidRPr="00BB3D52">
        <w:rPr>
          <w:rFonts w:cs="Times New Roman"/>
          <w:sz w:val="24"/>
          <w:szCs w:val="24"/>
        </w:rPr>
        <w:t>om 2017 to 2021</w:t>
      </w:r>
      <w:r w:rsidR="00917973" w:rsidRPr="00BB3D52">
        <w:rPr>
          <w:rFonts w:cs="Times New Roman"/>
          <w:sz w:val="24"/>
          <w:szCs w:val="24"/>
        </w:rPr>
        <w:t>.</w:t>
      </w:r>
      <w:r w:rsidR="00066A1E" w:rsidRPr="00BB3D52">
        <w:rPr>
          <w:rFonts w:cs="Times New Roman"/>
          <w:sz w:val="24"/>
          <w:szCs w:val="24"/>
        </w:rPr>
        <w:t xml:space="preserve"> </w:t>
      </w:r>
      <w:r w:rsidR="00CB2610">
        <w:rPr>
          <w:rFonts w:cs="Times New Roman"/>
          <w:sz w:val="24"/>
          <w:szCs w:val="24"/>
        </w:rPr>
        <w:t>(</w:t>
      </w:r>
      <w:r w:rsidR="00392EA2">
        <w:rPr>
          <w:rFonts w:cs="Times New Roman"/>
          <w:sz w:val="24"/>
          <w:szCs w:val="24"/>
        </w:rPr>
        <w:t>Figure</w:t>
      </w:r>
      <w:r w:rsidR="00CB2610">
        <w:rPr>
          <w:rFonts w:cs="Times New Roman"/>
          <w:sz w:val="24"/>
          <w:szCs w:val="24"/>
        </w:rPr>
        <w:t xml:space="preserve"> 26</w:t>
      </w:r>
      <w:r w:rsidR="009D196F" w:rsidRPr="00BB3D52">
        <w:rPr>
          <w:rFonts w:cs="Times New Roman"/>
          <w:sz w:val="24"/>
          <w:szCs w:val="24"/>
        </w:rPr>
        <w:t>)</w:t>
      </w:r>
      <w:r w:rsidR="00636E5D" w:rsidRPr="00636E5D">
        <w:rPr>
          <w:noProof/>
          <w:lang w:eastAsia="en-029"/>
        </w:rPr>
        <w:t xml:space="preserve"> </w:t>
      </w:r>
    </w:p>
    <w:p w14:paraId="4B79E003" w14:textId="77777777" w:rsidR="00917973" w:rsidRPr="00BB3D52" w:rsidRDefault="00365B1B" w:rsidP="00E0795E">
      <w:pPr>
        <w:pStyle w:val="Heading2"/>
        <w:spacing w:line="360" w:lineRule="auto"/>
        <w:rPr>
          <w:rFonts w:cs="Times New Roman"/>
          <w:sz w:val="24"/>
          <w:szCs w:val="24"/>
        </w:rPr>
      </w:pPr>
      <w:bookmarkStart w:id="138" w:name="_Toc102558945"/>
      <w:r w:rsidRPr="00BB3D52">
        <w:rPr>
          <w:rFonts w:cs="Times New Roman"/>
          <w:sz w:val="24"/>
          <w:szCs w:val="24"/>
        </w:rPr>
        <w:t>8</w:t>
      </w:r>
      <w:r w:rsidR="00FE39DB">
        <w:rPr>
          <w:rFonts w:cs="Times New Roman"/>
          <w:sz w:val="24"/>
          <w:szCs w:val="24"/>
        </w:rPr>
        <w:t xml:space="preserve">.2 Contingent Liabilities </w:t>
      </w:r>
      <w:r w:rsidR="009D196F" w:rsidRPr="00BB3D52">
        <w:rPr>
          <w:rFonts w:cs="Times New Roman"/>
          <w:sz w:val="24"/>
          <w:szCs w:val="24"/>
        </w:rPr>
        <w:t>by Residency</w:t>
      </w:r>
      <w:bookmarkEnd w:id="138"/>
    </w:p>
    <w:p w14:paraId="1D93A789" w14:textId="77777777" w:rsidR="007C5805" w:rsidRPr="00BB3D52" w:rsidRDefault="00365B1B" w:rsidP="00331B27">
      <w:pPr>
        <w:spacing w:line="360" w:lineRule="auto"/>
        <w:jc w:val="both"/>
        <w:rPr>
          <w:rFonts w:cs="Times New Roman"/>
          <w:sz w:val="24"/>
          <w:szCs w:val="24"/>
        </w:rPr>
      </w:pPr>
      <w:r>
        <w:rPr>
          <w:noProof/>
          <w:lang w:val="en-US"/>
        </w:rPr>
        <mc:AlternateContent>
          <mc:Choice Requires="wps">
            <w:drawing>
              <wp:anchor distT="0" distB="0" distL="114300" distR="114300" simplePos="0" relativeHeight="251745280" behindDoc="0" locked="0" layoutInCell="1" allowOverlap="1" wp14:anchorId="65781B99" wp14:editId="4BC7AD20">
                <wp:simplePos x="0" y="0"/>
                <wp:positionH relativeFrom="margin">
                  <wp:posOffset>2990850</wp:posOffset>
                </wp:positionH>
                <wp:positionV relativeFrom="paragraph">
                  <wp:posOffset>10160</wp:posOffset>
                </wp:positionV>
                <wp:extent cx="2695575" cy="114300"/>
                <wp:effectExtent l="0" t="0" r="9525" b="0"/>
                <wp:wrapSquare wrapText="bothSides"/>
                <wp:docPr id="56" name="Text Box 56"/>
                <wp:cNvGraphicFramePr/>
                <a:graphic xmlns:a="http://schemas.openxmlformats.org/drawingml/2006/main">
                  <a:graphicData uri="http://schemas.microsoft.com/office/word/2010/wordprocessingShape">
                    <wps:wsp>
                      <wps:cNvSpPr txBox="1"/>
                      <wps:spPr>
                        <a:xfrm>
                          <a:off x="0" y="0"/>
                          <a:ext cx="2695575" cy="114300"/>
                        </a:xfrm>
                        <a:prstGeom prst="rect">
                          <a:avLst/>
                        </a:prstGeom>
                        <a:solidFill>
                          <a:prstClr val="white"/>
                        </a:solidFill>
                        <a:ln>
                          <a:noFill/>
                        </a:ln>
                        <a:effectLst/>
                      </wps:spPr>
                      <wps:txbx>
                        <w:txbxContent>
                          <w:p w14:paraId="6F183CFA" w14:textId="77777777" w:rsidR="005C750A" w:rsidRPr="00282F39" w:rsidRDefault="005C750A" w:rsidP="005F50C5">
                            <w:bookmarkStart w:id="139" w:name="_Toc102559795"/>
                            <w:bookmarkStart w:id="140" w:name="_Toc102560695"/>
                            <w:r w:rsidRPr="00282F39">
                              <w:t xml:space="preserve">Figure </w:t>
                            </w:r>
                            <w:r w:rsidR="002E1637">
                              <w:fldChar w:fldCharType="begin"/>
                            </w:r>
                            <w:r w:rsidR="002E1637">
                              <w:instrText xml:space="preserve"> SEQ Figure \* ARABIC </w:instrText>
                            </w:r>
                            <w:r w:rsidR="002E1637">
                              <w:fldChar w:fldCharType="separate"/>
                            </w:r>
                            <w:r>
                              <w:rPr>
                                <w:noProof/>
                              </w:rPr>
                              <w:t>26</w:t>
                            </w:r>
                            <w:r w:rsidR="002E1637">
                              <w:rPr>
                                <w:noProof/>
                              </w:rPr>
                              <w:fldChar w:fldCharType="end"/>
                            </w:r>
                            <w:r w:rsidRPr="00282F39">
                              <w:t>: Contingent Liabilities by Residency 2017-2021</w:t>
                            </w:r>
                            <w:bookmarkEnd w:id="139"/>
                            <w:bookmarkEnd w:id="140"/>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5781B99" id="Text Box 56" o:spid="_x0000_s1057" type="#_x0000_t202" style="position:absolute;left:0;text-align:left;margin-left:235.5pt;margin-top:.8pt;width:212.25pt;height:9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" stroked="f">
                <v:textbox inset="0,0,0,0">
                  <w:txbxContent>
                    <w:p w14:paraId="6F183CFA" w14:textId="77777777" w:rsidR="005C750A" w:rsidRPr="00282F39" w:rsidRDefault="005C750A" w:rsidP="005F50C5">
                      <w:bookmarkStart w:id="190" w:name="_Toc102559795"/>
                      <w:bookmarkStart w:id="191" w:name="_Toc102560695"/>
                      <w:r w:rsidRPr="00282F39">
                        <w:t xml:space="preserve">Figure </w:t>
                      </w:r>
                      <w:fldSimple w:instr=" SEQ Figure \* ARABIC ">
                        <w:r>
                          <w:rPr>
                            <w:noProof/>
                          </w:rPr>
                          <w:t>26</w:t>
                        </w:r>
                      </w:fldSimple>
                      <w:r w:rsidRPr="00282F39">
                        <w:t>: Contingent Liabilities by Residency 2017-2021</w:t>
                      </w:r>
                      <w:bookmarkEnd w:id="190"/>
                      <w:bookmarkEnd w:id="191"/>
                    </w:p>
                  </w:txbxContent>
                </v:textbox>
                <w10:wrap type="square" anchorx="margin"/>
              </v:shape>
            </w:pict>
          </mc:Fallback>
        </mc:AlternateContent>
      </w:r>
      <w:r w:rsidR="00331B27">
        <w:rPr>
          <w:noProof/>
          <w:lang w:val="en-US"/>
        </w:rPr>
        <w:drawing>
          <wp:anchor distT="0" distB="0" distL="114300" distR="114300" simplePos="0" relativeHeight="251680768" behindDoc="0" locked="0" layoutInCell="1" allowOverlap="1" wp14:anchorId="464977B8" wp14:editId="0B82B88C">
            <wp:simplePos x="0" y="0"/>
            <wp:positionH relativeFrom="margin">
              <wp:align>right</wp:align>
            </wp:positionH>
            <wp:positionV relativeFrom="paragraph">
              <wp:posOffset>6985</wp:posOffset>
            </wp:positionV>
            <wp:extent cx="3291840" cy="1920240"/>
            <wp:effectExtent l="0" t="0" r="0" b="0"/>
            <wp:wrapSquare wrapText="bothSides"/>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14:sizeRelV relativeFrom="margin">
              <wp14:pctHeight>0</wp14:pctHeight>
            </wp14:sizeRelV>
          </wp:anchor>
        </w:drawing>
      </w:r>
      <w:r w:rsidR="001F0670" w:rsidRPr="00BB3D52">
        <w:rPr>
          <w:rFonts w:cs="Times New Roman"/>
          <w:sz w:val="24"/>
          <w:szCs w:val="24"/>
        </w:rPr>
        <w:t xml:space="preserve">Domestic </w:t>
      </w:r>
      <w:r w:rsidR="009D196F" w:rsidRPr="00BB3D52">
        <w:rPr>
          <w:rFonts w:cs="Times New Roman"/>
          <w:sz w:val="24"/>
          <w:szCs w:val="24"/>
        </w:rPr>
        <w:t>government-</w:t>
      </w:r>
      <w:r w:rsidR="001F0670" w:rsidRPr="00BB3D52">
        <w:rPr>
          <w:rFonts w:cs="Times New Roman"/>
          <w:sz w:val="24"/>
          <w:szCs w:val="24"/>
        </w:rPr>
        <w:t xml:space="preserve">guaranteed </w:t>
      </w:r>
      <w:r w:rsidR="005104E3" w:rsidRPr="00BB3D52">
        <w:rPr>
          <w:rFonts w:cs="Times New Roman"/>
          <w:sz w:val="24"/>
          <w:szCs w:val="24"/>
        </w:rPr>
        <w:t>debt amounted to $155.34M or 57.3</w:t>
      </w:r>
      <w:r w:rsidR="001F0670" w:rsidRPr="00BB3D52">
        <w:rPr>
          <w:rFonts w:cs="Times New Roman"/>
          <w:sz w:val="24"/>
          <w:szCs w:val="24"/>
        </w:rPr>
        <w:t xml:space="preserve">% of the </w:t>
      </w:r>
      <w:r w:rsidR="009D196F" w:rsidRPr="00BB3D52">
        <w:rPr>
          <w:rFonts w:cs="Times New Roman"/>
          <w:sz w:val="24"/>
          <w:szCs w:val="24"/>
        </w:rPr>
        <w:t xml:space="preserve">contingent liability </w:t>
      </w:r>
      <w:r w:rsidR="0090418A" w:rsidRPr="00BB3D52">
        <w:rPr>
          <w:rFonts w:cs="Times New Roman"/>
          <w:sz w:val="24"/>
          <w:szCs w:val="24"/>
        </w:rPr>
        <w:t>debt portfolio in 2021</w:t>
      </w:r>
      <w:r w:rsidR="001F0670" w:rsidRPr="00BB3D52">
        <w:rPr>
          <w:rFonts w:cs="Times New Roman"/>
          <w:sz w:val="24"/>
          <w:szCs w:val="24"/>
        </w:rPr>
        <w:t>. Ext</w:t>
      </w:r>
      <w:r w:rsidR="0090418A" w:rsidRPr="00BB3D52">
        <w:rPr>
          <w:rFonts w:cs="Times New Roman"/>
          <w:sz w:val="24"/>
          <w:szCs w:val="24"/>
        </w:rPr>
        <w:t>ernal guar</w:t>
      </w:r>
      <w:r w:rsidR="005104E3" w:rsidRPr="00BB3D52">
        <w:rPr>
          <w:rFonts w:cs="Times New Roman"/>
          <w:sz w:val="24"/>
          <w:szCs w:val="24"/>
        </w:rPr>
        <w:t>antees totaled $115.74M or 42.7</w:t>
      </w:r>
      <w:r w:rsidR="001F0670" w:rsidRPr="00BB3D52">
        <w:rPr>
          <w:rFonts w:cs="Times New Roman"/>
          <w:sz w:val="24"/>
          <w:szCs w:val="24"/>
        </w:rPr>
        <w:t xml:space="preserve">% of the </w:t>
      </w:r>
      <w:r w:rsidR="0033616F">
        <w:rPr>
          <w:rFonts w:cs="Times New Roman"/>
          <w:sz w:val="24"/>
          <w:szCs w:val="24"/>
        </w:rPr>
        <w:t xml:space="preserve">contingent </w:t>
      </w:r>
      <w:r w:rsidR="0090418A" w:rsidRPr="00BB3D52">
        <w:rPr>
          <w:rFonts w:cs="Times New Roman"/>
          <w:sz w:val="24"/>
          <w:szCs w:val="24"/>
        </w:rPr>
        <w:t>liability debt portfolio in 2021</w:t>
      </w:r>
      <w:r w:rsidR="005104E3" w:rsidRPr="00BB3D52">
        <w:rPr>
          <w:rFonts w:cs="Times New Roman"/>
          <w:sz w:val="24"/>
          <w:szCs w:val="24"/>
        </w:rPr>
        <w:t>, a 74.6</w:t>
      </w:r>
      <w:r w:rsidR="003B49AC" w:rsidRPr="00BB3D52">
        <w:rPr>
          <w:rFonts w:cs="Times New Roman"/>
          <w:sz w:val="24"/>
          <w:szCs w:val="24"/>
        </w:rPr>
        <w:t>% increase due to disbursements on</w:t>
      </w:r>
      <w:r w:rsidR="001F0670" w:rsidRPr="00BB3D52">
        <w:rPr>
          <w:rFonts w:cs="Times New Roman"/>
          <w:sz w:val="24"/>
          <w:szCs w:val="24"/>
        </w:rPr>
        <w:t xml:space="preserve"> the new </w:t>
      </w:r>
      <w:r w:rsidR="00D37309">
        <w:rPr>
          <w:rFonts w:cs="Times New Roman"/>
          <w:sz w:val="24"/>
          <w:szCs w:val="24"/>
        </w:rPr>
        <w:t>HIARDP</w:t>
      </w:r>
      <w:r w:rsidR="001F0670" w:rsidRPr="00BB3D52">
        <w:rPr>
          <w:rFonts w:cs="Times New Roman"/>
          <w:sz w:val="24"/>
          <w:szCs w:val="24"/>
        </w:rPr>
        <w:t xml:space="preserve"> lo</w:t>
      </w:r>
      <w:r w:rsidR="00CB2610">
        <w:rPr>
          <w:rFonts w:cs="Times New Roman"/>
          <w:sz w:val="24"/>
          <w:szCs w:val="24"/>
        </w:rPr>
        <w:t>an from the EXIM-Bank. (</w:t>
      </w:r>
      <w:r w:rsidR="00392EA2">
        <w:rPr>
          <w:rFonts w:cs="Times New Roman"/>
          <w:sz w:val="24"/>
          <w:szCs w:val="24"/>
        </w:rPr>
        <w:t>Figure</w:t>
      </w:r>
      <w:r w:rsidR="00CB2610">
        <w:rPr>
          <w:rFonts w:cs="Times New Roman"/>
          <w:sz w:val="24"/>
          <w:szCs w:val="24"/>
        </w:rPr>
        <w:t xml:space="preserve"> 27</w:t>
      </w:r>
      <w:r w:rsidR="001F0670" w:rsidRPr="00BB3D52">
        <w:rPr>
          <w:rFonts w:cs="Times New Roman"/>
          <w:sz w:val="24"/>
          <w:szCs w:val="24"/>
        </w:rPr>
        <w:t>)</w:t>
      </w:r>
      <w:bookmarkStart w:id="141" w:name="_Toc947415"/>
      <w:bookmarkStart w:id="142" w:name="_Toc25229009"/>
      <w:bookmarkEnd w:id="136"/>
      <w:r w:rsidR="00FE39DB" w:rsidRPr="00FE39DB">
        <w:rPr>
          <w:noProof/>
          <w:lang w:eastAsia="en-029"/>
        </w:rPr>
        <w:t xml:space="preserve"> </w:t>
      </w:r>
    </w:p>
    <w:p w14:paraId="448F0172" w14:textId="77777777" w:rsidR="00C22E8A" w:rsidRPr="00BB3D52" w:rsidRDefault="00365B1B" w:rsidP="00E0795E">
      <w:pPr>
        <w:pStyle w:val="Heading2"/>
        <w:spacing w:line="360" w:lineRule="auto"/>
        <w:rPr>
          <w:rFonts w:cs="Times New Roman"/>
          <w:sz w:val="24"/>
          <w:szCs w:val="24"/>
        </w:rPr>
      </w:pPr>
      <w:bookmarkStart w:id="143" w:name="_Toc102558946"/>
      <w:r w:rsidRPr="00BB3D52">
        <w:rPr>
          <w:rFonts w:cs="Times New Roman"/>
          <w:sz w:val="24"/>
          <w:szCs w:val="24"/>
        </w:rPr>
        <w:t>8</w:t>
      </w:r>
      <w:r w:rsidR="009D196F" w:rsidRPr="00BB3D52">
        <w:rPr>
          <w:rFonts w:cs="Times New Roman"/>
          <w:sz w:val="24"/>
          <w:szCs w:val="24"/>
        </w:rPr>
        <w:t>.3</w:t>
      </w:r>
      <w:r w:rsidR="00FE39DB">
        <w:rPr>
          <w:rFonts w:cs="Times New Roman"/>
          <w:sz w:val="24"/>
          <w:szCs w:val="24"/>
        </w:rPr>
        <w:t xml:space="preserve"> Contingent Liabilities</w:t>
      </w:r>
      <w:r w:rsidR="001F0670" w:rsidRPr="00BB3D52">
        <w:rPr>
          <w:rFonts w:cs="Times New Roman"/>
          <w:sz w:val="24"/>
          <w:szCs w:val="24"/>
        </w:rPr>
        <w:t xml:space="preserve"> by </w:t>
      </w:r>
      <w:bookmarkEnd w:id="141"/>
      <w:bookmarkEnd w:id="142"/>
      <w:r w:rsidR="001F0670" w:rsidRPr="00BB3D52">
        <w:rPr>
          <w:rFonts w:cs="Times New Roman"/>
          <w:sz w:val="24"/>
          <w:szCs w:val="24"/>
        </w:rPr>
        <w:t>Creditor</w:t>
      </w:r>
      <w:bookmarkEnd w:id="143"/>
      <w:r w:rsidR="001F0670" w:rsidRPr="00BB3D52">
        <w:rPr>
          <w:rFonts w:cs="Times New Roman"/>
          <w:sz w:val="24"/>
          <w:szCs w:val="24"/>
        </w:rPr>
        <w:t xml:space="preserve">      </w:t>
      </w:r>
    </w:p>
    <w:p w14:paraId="3D37419D" w14:textId="77777777" w:rsidR="000D7958" w:rsidRPr="00BB3D52" w:rsidRDefault="00687DA4" w:rsidP="00331B27">
      <w:pPr>
        <w:spacing w:line="360" w:lineRule="auto"/>
        <w:jc w:val="both"/>
        <w:rPr>
          <w:rFonts w:cs="Times New Roman"/>
          <w:sz w:val="24"/>
          <w:szCs w:val="24"/>
          <w:lang w:eastAsia="en-029"/>
        </w:rPr>
      </w:pPr>
      <w:r>
        <w:rPr>
          <w:noProof/>
          <w:lang w:val="en-US"/>
        </w:rPr>
        <mc:AlternateContent>
          <mc:Choice Requires="wps">
            <w:drawing>
              <wp:anchor distT="0" distB="0" distL="114300" distR="114300" simplePos="0" relativeHeight="251747328" behindDoc="0" locked="0" layoutInCell="1" allowOverlap="1" wp14:anchorId="30EE7926" wp14:editId="47AA79AD">
                <wp:simplePos x="0" y="0"/>
                <wp:positionH relativeFrom="margin">
                  <wp:posOffset>3185492</wp:posOffset>
                </wp:positionH>
                <wp:positionV relativeFrom="paragraph">
                  <wp:posOffset>35284</wp:posOffset>
                </wp:positionV>
                <wp:extent cx="2409825" cy="114300"/>
                <wp:effectExtent l="0" t="0" r="9525" b="0"/>
                <wp:wrapSquare wrapText="bothSides"/>
                <wp:docPr id="57" name="Text Box 57"/>
                <wp:cNvGraphicFramePr/>
                <a:graphic xmlns:a="http://schemas.openxmlformats.org/drawingml/2006/main">
                  <a:graphicData uri="http://schemas.microsoft.com/office/word/2010/wordprocessingShape">
                    <wps:wsp>
                      <wps:cNvSpPr txBox="1"/>
                      <wps:spPr>
                        <a:xfrm>
                          <a:off x="0" y="0"/>
                          <a:ext cx="2409825" cy="114300"/>
                        </a:xfrm>
                        <a:prstGeom prst="rect">
                          <a:avLst/>
                        </a:prstGeom>
                        <a:solidFill>
                          <a:prstClr val="white"/>
                        </a:solidFill>
                        <a:ln>
                          <a:noFill/>
                        </a:ln>
                        <a:effectLst/>
                      </wps:spPr>
                      <wps:txbx>
                        <w:txbxContent>
                          <w:p w14:paraId="5AB981DC" w14:textId="77777777" w:rsidR="005C750A" w:rsidRPr="0010713C" w:rsidRDefault="005C750A" w:rsidP="005F50C5">
                            <w:pPr>
                              <w:rPr>
                                <w:noProof/>
                              </w:rPr>
                            </w:pPr>
                            <w:bookmarkStart w:id="144" w:name="_Toc102559796"/>
                            <w:bookmarkStart w:id="145" w:name="_Toc102560696"/>
                            <w:r w:rsidRPr="0010713C">
                              <w:t xml:space="preserve">Figure </w:t>
                            </w:r>
                            <w:r w:rsidR="002E1637">
                              <w:fldChar w:fldCharType="begin"/>
                            </w:r>
                            <w:r w:rsidR="002E1637">
                              <w:instrText xml:space="preserve"> SEQ Figure \* ARABIC </w:instrText>
                            </w:r>
                            <w:r w:rsidR="002E1637">
                              <w:fldChar w:fldCharType="separate"/>
                            </w:r>
                            <w:r>
                              <w:rPr>
                                <w:noProof/>
                              </w:rPr>
                              <w:t>27</w:t>
                            </w:r>
                            <w:r w:rsidR="002E1637">
                              <w:rPr>
                                <w:noProof/>
                              </w:rPr>
                              <w:fldChar w:fldCharType="end"/>
                            </w:r>
                            <w:r w:rsidRPr="0010713C">
                              <w:t>: Contingent Liabilities by Creditor 2021</w:t>
                            </w:r>
                            <w:bookmarkEnd w:id="144"/>
                            <w:bookmarkEnd w:id="145"/>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0EE7926" id="Text Box 57" o:spid="_x0000_s1058" type="#_x0000_t202" style="position:absolute;left:0;text-align:left;margin-left:250.85pt;margin-top:2.8pt;width:189.75pt;height:9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" stroked="f">
                <v:textbox inset="0,0,0,0">
                  <w:txbxContent>
                    <w:p w14:paraId="5AB981DC" w14:textId="77777777" w:rsidR="005C750A" w:rsidRPr="0010713C" w:rsidRDefault="005C750A" w:rsidP="005F50C5">
                      <w:pPr>
                        <w:rPr>
                          <w:noProof/>
                        </w:rPr>
                      </w:pPr>
                      <w:bookmarkStart w:id="197" w:name="_Toc102559796"/>
                      <w:bookmarkStart w:id="198" w:name="_Toc102560696"/>
                      <w:r w:rsidRPr="0010713C">
                        <w:t xml:space="preserve">Figure </w:t>
                      </w:r>
                      <w:fldSimple w:instr=" SEQ Figure \* ARABIC ">
                        <w:r>
                          <w:rPr>
                            <w:noProof/>
                          </w:rPr>
                          <w:t>27</w:t>
                        </w:r>
                      </w:fldSimple>
                      <w:r w:rsidRPr="0010713C">
                        <w:t>: Contingent Liabilities by Creditor 2021</w:t>
                      </w:r>
                      <w:bookmarkEnd w:id="197"/>
                      <w:bookmarkEnd w:id="198"/>
                    </w:p>
                  </w:txbxContent>
                </v:textbox>
                <w10:wrap type="square" anchorx="margin"/>
              </v:shape>
            </w:pict>
          </mc:Fallback>
        </mc:AlternateContent>
      </w:r>
      <w:r w:rsidR="00FE39DB">
        <w:rPr>
          <w:noProof/>
          <w:lang w:val="en-US"/>
        </w:rPr>
        <w:drawing>
          <wp:anchor distT="0" distB="0" distL="114300" distR="114300" simplePos="0" relativeHeight="251681792" behindDoc="0" locked="0" layoutInCell="1" allowOverlap="1" wp14:anchorId="720AB7A3" wp14:editId="2033E798">
            <wp:simplePos x="0" y="0"/>
            <wp:positionH relativeFrom="margin">
              <wp:align>right</wp:align>
            </wp:positionH>
            <wp:positionV relativeFrom="paragraph">
              <wp:posOffset>12700</wp:posOffset>
            </wp:positionV>
            <wp:extent cx="3291840" cy="1920240"/>
            <wp:effectExtent l="0" t="0" r="3810" b="0"/>
            <wp:wrapSquare wrapText="bothSides"/>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anchor>
        </w:drawing>
      </w:r>
      <w:r w:rsidR="00C22E8A" w:rsidRPr="00BB3D52">
        <w:rPr>
          <w:rFonts w:cs="Times New Roman"/>
          <w:sz w:val="24"/>
          <w:szCs w:val="24"/>
        </w:rPr>
        <w:t>The National Insurance Corporation (NIC) held the majority share of the domestic government-g</w:t>
      </w:r>
      <w:r w:rsidR="009865D9" w:rsidRPr="00BB3D52">
        <w:rPr>
          <w:rFonts w:cs="Times New Roman"/>
          <w:sz w:val="24"/>
          <w:szCs w:val="24"/>
        </w:rPr>
        <w:t>uaranteed deb</w:t>
      </w:r>
      <w:r w:rsidR="00046439" w:rsidRPr="00BB3D52">
        <w:rPr>
          <w:rFonts w:cs="Times New Roman"/>
          <w:sz w:val="24"/>
          <w:szCs w:val="24"/>
        </w:rPr>
        <w:t>t portfolio in 2021 with $114.68</w:t>
      </w:r>
      <w:r w:rsidR="00C22E8A" w:rsidRPr="00BB3D52">
        <w:rPr>
          <w:rFonts w:cs="Times New Roman"/>
          <w:sz w:val="24"/>
          <w:szCs w:val="24"/>
        </w:rPr>
        <w:t>M</w:t>
      </w:r>
      <w:r w:rsidR="009865D9" w:rsidRPr="00BB3D52">
        <w:rPr>
          <w:rFonts w:cs="Times New Roman"/>
          <w:sz w:val="24"/>
          <w:szCs w:val="24"/>
        </w:rPr>
        <w:t>. The Export-Import Bank of the Republic of China</w:t>
      </w:r>
      <w:r w:rsidR="00C22E8A" w:rsidRPr="00BB3D52">
        <w:rPr>
          <w:rFonts w:cs="Times New Roman"/>
          <w:sz w:val="24"/>
          <w:szCs w:val="24"/>
        </w:rPr>
        <w:t xml:space="preserve"> was the </w:t>
      </w:r>
      <w:r w:rsidR="009865D9" w:rsidRPr="00BB3D52">
        <w:rPr>
          <w:rFonts w:cs="Times New Roman"/>
          <w:sz w:val="24"/>
          <w:szCs w:val="24"/>
        </w:rPr>
        <w:t>second-largest creditor at $66.52</w:t>
      </w:r>
      <w:r w:rsidR="00C22E8A" w:rsidRPr="00BB3D52">
        <w:rPr>
          <w:rFonts w:cs="Times New Roman"/>
          <w:sz w:val="24"/>
          <w:szCs w:val="24"/>
        </w:rPr>
        <w:t>M.</w:t>
      </w:r>
      <w:r w:rsidR="00C22E8A" w:rsidRPr="00BB3D52">
        <w:rPr>
          <w:rFonts w:cs="Times New Roman"/>
          <w:color w:val="FF0000"/>
          <w:sz w:val="24"/>
          <w:szCs w:val="24"/>
        </w:rPr>
        <w:t xml:space="preserve"> </w:t>
      </w:r>
      <w:r w:rsidR="00C22E8A" w:rsidRPr="00BB3D52">
        <w:rPr>
          <w:rFonts w:cs="Times New Roman"/>
          <w:sz w:val="24"/>
          <w:szCs w:val="24"/>
        </w:rPr>
        <w:t>The</w:t>
      </w:r>
      <w:r w:rsidR="009865D9" w:rsidRPr="00BB3D52">
        <w:rPr>
          <w:rFonts w:cs="Times New Roman"/>
          <w:sz w:val="24"/>
          <w:szCs w:val="24"/>
        </w:rPr>
        <w:t xml:space="preserve"> Caribbean Development Bank (CDB) and the Bank of Saint Lucia held $45.30M and $29.91</w:t>
      </w:r>
      <w:r w:rsidR="00C22E8A" w:rsidRPr="00BB3D52">
        <w:rPr>
          <w:rFonts w:cs="Times New Roman"/>
          <w:sz w:val="24"/>
          <w:szCs w:val="24"/>
        </w:rPr>
        <w:t>M</w:t>
      </w:r>
      <w:r w:rsidR="009865D9" w:rsidRPr="00BB3D52">
        <w:rPr>
          <w:rFonts w:cs="Times New Roman"/>
          <w:sz w:val="24"/>
          <w:szCs w:val="24"/>
        </w:rPr>
        <w:t xml:space="preserve"> respectively. The 1</w:t>
      </w:r>
      <w:r w:rsidR="009865D9" w:rsidRPr="00BB3D52">
        <w:rPr>
          <w:rFonts w:cs="Times New Roman"/>
          <w:sz w:val="24"/>
          <w:szCs w:val="24"/>
          <w:vertAlign w:val="superscript"/>
        </w:rPr>
        <w:t>st</w:t>
      </w:r>
      <w:r w:rsidR="009865D9" w:rsidRPr="00BB3D52">
        <w:rPr>
          <w:rFonts w:cs="Times New Roman"/>
          <w:sz w:val="24"/>
          <w:szCs w:val="24"/>
        </w:rPr>
        <w:t xml:space="preserve"> National Bank o</w:t>
      </w:r>
      <w:r w:rsidR="00046439" w:rsidRPr="00BB3D52">
        <w:rPr>
          <w:rFonts w:cs="Times New Roman"/>
          <w:sz w:val="24"/>
          <w:szCs w:val="24"/>
        </w:rPr>
        <w:t>f Saint Lucia contributed $10.28</w:t>
      </w:r>
      <w:r w:rsidR="00C22E8A" w:rsidRPr="00BB3D52">
        <w:rPr>
          <w:rFonts w:cs="Times New Roman"/>
          <w:sz w:val="24"/>
          <w:szCs w:val="24"/>
        </w:rPr>
        <w:t>M while the CARICOM D</w:t>
      </w:r>
      <w:r w:rsidR="009865D9" w:rsidRPr="00BB3D52">
        <w:rPr>
          <w:rFonts w:cs="Times New Roman"/>
          <w:sz w:val="24"/>
          <w:szCs w:val="24"/>
        </w:rPr>
        <w:t>evelopment Fund contributed $3.93</w:t>
      </w:r>
      <w:r w:rsidR="0063459F" w:rsidRPr="00BB3D52">
        <w:rPr>
          <w:rFonts w:cs="Times New Roman"/>
          <w:sz w:val="24"/>
          <w:szCs w:val="24"/>
        </w:rPr>
        <w:t>M. (</w:t>
      </w:r>
      <w:r w:rsidR="00392EA2">
        <w:rPr>
          <w:rFonts w:cs="Times New Roman"/>
          <w:sz w:val="24"/>
          <w:szCs w:val="24"/>
        </w:rPr>
        <w:t>Figure</w:t>
      </w:r>
      <w:r w:rsidR="0063459F" w:rsidRPr="00BB3D52">
        <w:rPr>
          <w:rFonts w:cs="Times New Roman"/>
          <w:sz w:val="24"/>
          <w:szCs w:val="24"/>
        </w:rPr>
        <w:t xml:space="preserve"> 2</w:t>
      </w:r>
      <w:r w:rsidR="00CB2610">
        <w:rPr>
          <w:rFonts w:cs="Times New Roman"/>
          <w:sz w:val="24"/>
          <w:szCs w:val="24"/>
        </w:rPr>
        <w:t>8</w:t>
      </w:r>
      <w:r w:rsidR="007C5805" w:rsidRPr="00BB3D52">
        <w:rPr>
          <w:rFonts w:cs="Times New Roman"/>
          <w:sz w:val="24"/>
          <w:szCs w:val="24"/>
        </w:rPr>
        <w:t>)</w:t>
      </w:r>
      <w:r w:rsidR="00FE39DB" w:rsidRPr="00FE39DB">
        <w:rPr>
          <w:noProof/>
          <w:lang w:eastAsia="en-029"/>
        </w:rPr>
        <w:t xml:space="preserve"> </w:t>
      </w:r>
    </w:p>
    <w:p w14:paraId="0BDCFDA7" w14:textId="77777777" w:rsidR="000A32FF" w:rsidRPr="00BB3D52" w:rsidRDefault="00365B1B" w:rsidP="00E0795E">
      <w:pPr>
        <w:pStyle w:val="Heading1"/>
        <w:spacing w:line="360" w:lineRule="auto"/>
        <w:rPr>
          <w:rFonts w:cs="Times New Roman"/>
          <w:noProof/>
          <w:sz w:val="24"/>
          <w:szCs w:val="24"/>
          <w:lang w:eastAsia="en-029"/>
        </w:rPr>
      </w:pPr>
      <w:bookmarkStart w:id="146" w:name="_Toc102558947"/>
      <w:r w:rsidRPr="00BB3D52">
        <w:rPr>
          <w:rFonts w:cs="Times New Roman"/>
          <w:noProof/>
          <w:sz w:val="24"/>
          <w:szCs w:val="24"/>
          <w:lang w:eastAsia="en-029"/>
        </w:rPr>
        <w:t>9</w:t>
      </w:r>
      <w:r w:rsidR="001F0670" w:rsidRPr="00BB3D52">
        <w:rPr>
          <w:rFonts w:cs="Times New Roman"/>
          <w:noProof/>
          <w:sz w:val="24"/>
          <w:szCs w:val="24"/>
          <w:lang w:eastAsia="en-029"/>
        </w:rPr>
        <w:t xml:space="preserve">. </w:t>
      </w:r>
      <w:r w:rsidR="000C28B3" w:rsidRPr="00BB3D52">
        <w:rPr>
          <w:rFonts w:cs="Times New Roman"/>
          <w:noProof/>
          <w:sz w:val="24"/>
          <w:szCs w:val="24"/>
          <w:lang w:eastAsia="en-029"/>
        </w:rPr>
        <w:t>Financing in 2020/21</w:t>
      </w:r>
      <w:r>
        <w:rPr>
          <w:rStyle w:val="FootnoteReference"/>
          <w:rFonts w:cs="Times New Roman"/>
          <w:noProof/>
          <w:sz w:val="24"/>
          <w:szCs w:val="24"/>
          <w:lang w:eastAsia="en-029"/>
        </w:rPr>
        <w:footnoteReference w:id="6"/>
      </w:r>
      <w:bookmarkEnd w:id="146"/>
    </w:p>
    <w:p w14:paraId="37FBAC70" w14:textId="77777777" w:rsidR="00377F8B" w:rsidRPr="00377F8B" w:rsidRDefault="00365B1B" w:rsidP="00377F8B">
      <w:pPr>
        <w:spacing w:line="360" w:lineRule="auto"/>
        <w:jc w:val="both"/>
        <w:rPr>
          <w:rFonts w:cs="Times New Roman"/>
          <w:sz w:val="24"/>
          <w:szCs w:val="24"/>
        </w:rPr>
      </w:pPr>
      <w:r w:rsidRPr="00377F8B">
        <w:rPr>
          <w:rFonts w:cs="Times New Roman"/>
          <w:sz w:val="24"/>
          <w:szCs w:val="24"/>
        </w:rPr>
        <w:t xml:space="preserve">As of March 2022, the actualized central government financing surpassed the approved 2021/22 budget estimates. The </w:t>
      </w:r>
      <w:r w:rsidR="00DD5C0B">
        <w:rPr>
          <w:rFonts w:cs="Times New Roman"/>
          <w:sz w:val="24"/>
          <w:szCs w:val="24"/>
        </w:rPr>
        <w:t>GOSL</w:t>
      </w:r>
      <w:r w:rsidRPr="00377F8B">
        <w:rPr>
          <w:rFonts w:cs="Times New Roman"/>
          <w:sz w:val="24"/>
          <w:szCs w:val="24"/>
        </w:rPr>
        <w:t xml:space="preserve"> gross financing need for 2021/22 was $1,238.7M. External sources provided 78.0% with the remaining 22.0% from the domestic market. As of March 2022, total funding amounted to $1,354.9M, of which new financing was $567.1M, $52.1M above the approved estimates. Loans receipts were $47.7M above the approved amount</w:t>
      </w:r>
      <w:r w:rsidR="00EE1756">
        <w:rPr>
          <w:rFonts w:cs="Times New Roman"/>
          <w:sz w:val="24"/>
          <w:szCs w:val="24"/>
        </w:rPr>
        <w:t>. Mo</w:t>
      </w:r>
      <w:r w:rsidRPr="00377F8B">
        <w:rPr>
          <w:rFonts w:cs="Times New Roman"/>
          <w:sz w:val="24"/>
          <w:szCs w:val="24"/>
        </w:rPr>
        <w:t xml:space="preserve">re than 70.0% of these receipts were from </w:t>
      </w:r>
      <w:r w:rsidR="00540D81" w:rsidRPr="00377F8B">
        <w:rPr>
          <w:rFonts w:cs="Times New Roman"/>
          <w:sz w:val="24"/>
          <w:szCs w:val="24"/>
        </w:rPr>
        <w:t xml:space="preserve">multilateral </w:t>
      </w:r>
      <w:r w:rsidRPr="00377F8B">
        <w:rPr>
          <w:rFonts w:cs="Times New Roman"/>
          <w:sz w:val="24"/>
          <w:szCs w:val="24"/>
        </w:rPr>
        <w:t xml:space="preserve">concessional and external loans (IMF, WB, and CDB) and bilateral </w:t>
      </w:r>
      <w:r w:rsidR="00540D81" w:rsidRPr="00377F8B">
        <w:rPr>
          <w:rFonts w:cs="Times New Roman"/>
          <w:sz w:val="24"/>
          <w:szCs w:val="24"/>
        </w:rPr>
        <w:t xml:space="preserve">sources </w:t>
      </w:r>
      <w:r w:rsidR="00540D81">
        <w:rPr>
          <w:rFonts w:cs="Times New Roman"/>
          <w:sz w:val="24"/>
          <w:szCs w:val="24"/>
        </w:rPr>
        <w:t>that filled</w:t>
      </w:r>
      <w:r w:rsidRPr="00377F8B">
        <w:rPr>
          <w:rFonts w:cs="Times New Roman"/>
          <w:sz w:val="24"/>
          <w:szCs w:val="24"/>
        </w:rPr>
        <w:t xml:space="preserve"> the funding gap arising from the pandemic-induced drop in revenue collections. </w:t>
      </w:r>
    </w:p>
    <w:p w14:paraId="4D130414" w14:textId="77777777" w:rsidR="00191D34" w:rsidRPr="005F50C5" w:rsidRDefault="00365B1B" w:rsidP="005F50C5">
      <w:pPr>
        <w:spacing w:line="360" w:lineRule="auto"/>
        <w:jc w:val="both"/>
        <w:rPr>
          <w:rFonts w:cs="Times New Roman"/>
          <w:sz w:val="24"/>
          <w:szCs w:val="24"/>
        </w:rPr>
      </w:pPr>
      <w:r w:rsidRPr="00377F8B">
        <w:rPr>
          <w:rFonts w:cs="Times New Roman"/>
          <w:sz w:val="24"/>
          <w:szCs w:val="24"/>
        </w:rPr>
        <w:t xml:space="preserve">The COVID-19 pandemic </w:t>
      </w:r>
      <w:r w:rsidR="00087E1D">
        <w:rPr>
          <w:rFonts w:cs="Times New Roman"/>
          <w:sz w:val="24"/>
          <w:szCs w:val="24"/>
        </w:rPr>
        <w:t>continued to cause</w:t>
      </w:r>
      <w:r w:rsidRPr="00377F8B">
        <w:rPr>
          <w:rFonts w:cs="Times New Roman"/>
          <w:sz w:val="24"/>
          <w:szCs w:val="24"/>
        </w:rPr>
        <w:t xml:space="preserve"> high levels of uncertainty in the market over the last year. While the Government of Saint Lucia remained the major player on the RGSM platform, the pandemic-induce</w:t>
      </w:r>
      <w:r w:rsidR="00087E1D">
        <w:rPr>
          <w:rFonts w:cs="Times New Roman"/>
          <w:sz w:val="24"/>
          <w:szCs w:val="24"/>
        </w:rPr>
        <w:t>d economic downturn lessened</w:t>
      </w:r>
      <w:r w:rsidRPr="00377F8B">
        <w:rPr>
          <w:rFonts w:cs="Times New Roman"/>
          <w:sz w:val="24"/>
          <w:szCs w:val="24"/>
        </w:rPr>
        <w:t xml:space="preserve"> the number and value of bids </w:t>
      </w:r>
      <w:r w:rsidR="00087E1D">
        <w:rPr>
          <w:rFonts w:cs="Times New Roman"/>
          <w:sz w:val="24"/>
          <w:szCs w:val="24"/>
        </w:rPr>
        <w:t>on the RGSM platform. Eleven (11</w:t>
      </w:r>
      <w:r w:rsidR="00540D81">
        <w:rPr>
          <w:rFonts w:cs="Times New Roman"/>
          <w:sz w:val="24"/>
          <w:szCs w:val="24"/>
        </w:rPr>
        <w:t>)</w:t>
      </w:r>
      <w:r w:rsidR="00087E1D">
        <w:rPr>
          <w:rFonts w:cs="Times New Roman"/>
          <w:sz w:val="24"/>
          <w:szCs w:val="24"/>
        </w:rPr>
        <w:t xml:space="preserve"> out of </w:t>
      </w:r>
      <w:r w:rsidR="00540D81">
        <w:rPr>
          <w:rFonts w:cs="Times New Roman"/>
          <w:sz w:val="24"/>
          <w:szCs w:val="24"/>
        </w:rPr>
        <w:t xml:space="preserve">the </w:t>
      </w:r>
      <w:r w:rsidR="00087E1D">
        <w:rPr>
          <w:rFonts w:cs="Times New Roman"/>
          <w:sz w:val="24"/>
          <w:szCs w:val="24"/>
        </w:rPr>
        <w:t xml:space="preserve">eighteen (18) </w:t>
      </w:r>
      <w:r w:rsidR="00540D81">
        <w:rPr>
          <w:rFonts w:cs="Times New Roman"/>
          <w:sz w:val="24"/>
          <w:szCs w:val="24"/>
        </w:rPr>
        <w:t xml:space="preserve">broadcasted auctions </w:t>
      </w:r>
      <w:r w:rsidR="00087E1D">
        <w:rPr>
          <w:rFonts w:cs="Times New Roman"/>
          <w:sz w:val="24"/>
          <w:szCs w:val="24"/>
        </w:rPr>
        <w:t>were undersubscribed, 10</w:t>
      </w:r>
      <w:r w:rsidRPr="00377F8B">
        <w:rPr>
          <w:rFonts w:cs="Times New Roman"/>
          <w:sz w:val="24"/>
          <w:szCs w:val="24"/>
        </w:rPr>
        <w:t xml:space="preserve"> Treasury bills, and one (1) bond issue. The RGSM and private placement platforms remain vital funding sources. A total of $217.9M was raised in new bonds and notes financing. No new Treasury bill issuances were planned however; $26.79M was derived from</w:t>
      </w:r>
      <w:r w:rsidR="002E10AF">
        <w:rPr>
          <w:rFonts w:cs="Times New Roman"/>
          <w:sz w:val="24"/>
          <w:szCs w:val="24"/>
        </w:rPr>
        <w:t xml:space="preserve"> increased</w:t>
      </w:r>
      <w:r w:rsidRPr="00377F8B">
        <w:rPr>
          <w:rFonts w:cs="Times New Roman"/>
          <w:sz w:val="24"/>
          <w:szCs w:val="24"/>
        </w:rPr>
        <w:t xml:space="preserve"> subscriptions. (Table 2)</w:t>
      </w:r>
    </w:p>
    <w:p w14:paraId="6D90405D" w14:textId="77777777" w:rsidR="00191D34" w:rsidRPr="00191D34" w:rsidRDefault="00365B1B" w:rsidP="005F50C5">
      <w:bookmarkStart w:id="147" w:name="_Toc102560588"/>
      <w:r w:rsidRPr="00191D34">
        <w:t xml:space="preserve">Table </w:t>
      </w:r>
      <w:r w:rsidR="002E1637">
        <w:fldChar w:fldCharType="begin"/>
      </w:r>
      <w:r w:rsidR="002E1637">
        <w:instrText xml:space="preserve"> SEQ Table \* ARABIC </w:instrText>
      </w:r>
      <w:r w:rsidR="002E1637">
        <w:fldChar w:fldCharType="separate"/>
      </w:r>
      <w:r w:rsidR="00BC73C8">
        <w:rPr>
          <w:noProof/>
        </w:rPr>
        <w:t>2</w:t>
      </w:r>
      <w:r w:rsidR="002E1637">
        <w:rPr>
          <w:noProof/>
        </w:rPr>
        <w:fldChar w:fldCharType="end"/>
      </w:r>
      <w:r w:rsidRPr="00191D34">
        <w:t xml:space="preserve">: </w:t>
      </w:r>
      <w:r w:rsidRPr="00191D34">
        <w:rPr>
          <w:rFonts w:eastAsia="Times New Roman"/>
          <w:lang w:eastAsia="en-029"/>
        </w:rPr>
        <w:t>Financing in 2021/2022</w:t>
      </w:r>
      <w:bookmarkEnd w:id="147"/>
    </w:p>
    <w:tbl>
      <w:tblPr>
        <w:tblStyle w:val="GridTable4-Accent1"/>
        <w:tblpPr w:leftFromText="180" w:rightFromText="180" w:vertAnchor="text" w:horzAnchor="margin" w:tblpY="336"/>
        <w:tblW w:w="5000" w:type="pct"/>
        <w:tblLook w:val="04A0" w:firstRow="1" w:lastRow="0" w:firstColumn="1" w:lastColumn="0" w:noHBand="0" w:noVBand="1"/>
      </w:tblPr>
      <w:tblGrid>
        <w:gridCol w:w="1887"/>
        <w:gridCol w:w="2943"/>
        <w:gridCol w:w="2719"/>
        <w:gridCol w:w="1801"/>
      </w:tblGrid>
      <w:tr w:rsidR="00D11502" w14:paraId="3870B4A9" w14:textId="77777777" w:rsidTr="00F23B1D">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52022C77" w14:textId="77777777" w:rsidR="00CF56FC" w:rsidRPr="007A5A53" w:rsidRDefault="00CF56FC" w:rsidP="006F1273">
            <w:pPr>
              <w:spacing w:line="360" w:lineRule="auto"/>
              <w:jc w:val="center"/>
              <w:rPr>
                <w:rFonts w:eastAsia="Times New Roman" w:cs="Times New Roman"/>
                <w:color w:val="000000"/>
                <w:szCs w:val="16"/>
                <w:lang w:eastAsia="en-029"/>
              </w:rPr>
            </w:pPr>
          </w:p>
        </w:tc>
      </w:tr>
      <w:tr w:rsidR="00D11502" w14:paraId="66A900C4" w14:textId="77777777" w:rsidTr="00F23B1D">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009" w:type="pct"/>
            <w:noWrap/>
            <w:hideMark/>
          </w:tcPr>
          <w:p w14:paraId="56CF92A8" w14:textId="77777777" w:rsidR="00CF56FC" w:rsidRPr="007A5A53" w:rsidRDefault="00CF56FC" w:rsidP="006F1273">
            <w:pPr>
              <w:spacing w:line="360" w:lineRule="auto"/>
              <w:jc w:val="center"/>
              <w:rPr>
                <w:rFonts w:eastAsia="Times New Roman" w:cs="Times New Roman"/>
                <w:color w:val="000000"/>
                <w:szCs w:val="16"/>
                <w:lang w:eastAsia="en-029"/>
              </w:rPr>
            </w:pPr>
          </w:p>
        </w:tc>
        <w:tc>
          <w:tcPr>
            <w:tcW w:w="1574" w:type="pct"/>
            <w:hideMark/>
          </w:tcPr>
          <w:p w14:paraId="743A1A02" w14:textId="77777777" w:rsidR="00CF56FC" w:rsidRPr="007A5A53" w:rsidRDefault="00365B1B" w:rsidP="006F1273">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16"/>
                <w:lang w:eastAsia="en-029"/>
              </w:rPr>
            </w:pPr>
            <w:r w:rsidRPr="007A5A53">
              <w:rPr>
                <w:rFonts w:eastAsia="Times New Roman" w:cs="Times New Roman"/>
                <w:b/>
                <w:bCs/>
                <w:color w:val="000000"/>
                <w:szCs w:val="16"/>
                <w:lang w:eastAsia="en-029"/>
              </w:rPr>
              <w:t>Approved Funding (M)</w:t>
            </w:r>
          </w:p>
        </w:tc>
        <w:tc>
          <w:tcPr>
            <w:tcW w:w="1454" w:type="pct"/>
            <w:hideMark/>
          </w:tcPr>
          <w:p w14:paraId="7404BCE7" w14:textId="77777777" w:rsidR="00CF56FC" w:rsidRPr="007A5A53" w:rsidRDefault="00365B1B" w:rsidP="006F1273">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16"/>
                <w:lang w:eastAsia="en-029"/>
              </w:rPr>
            </w:pPr>
            <w:r w:rsidRPr="007A5A53">
              <w:rPr>
                <w:rFonts w:eastAsia="Times New Roman" w:cs="Times New Roman"/>
                <w:b/>
                <w:bCs/>
                <w:szCs w:val="16"/>
                <w:lang w:eastAsia="en-029"/>
              </w:rPr>
              <w:t>April-March 2022(M)</w:t>
            </w:r>
          </w:p>
        </w:tc>
        <w:tc>
          <w:tcPr>
            <w:tcW w:w="963" w:type="pct"/>
            <w:hideMark/>
          </w:tcPr>
          <w:p w14:paraId="74CFE59F" w14:textId="77777777" w:rsidR="00CF56FC" w:rsidRPr="007A5A53" w:rsidRDefault="00365B1B" w:rsidP="006F1273">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16"/>
                <w:lang w:eastAsia="en-029"/>
              </w:rPr>
            </w:pPr>
            <w:r w:rsidRPr="007A5A53">
              <w:rPr>
                <w:rFonts w:eastAsia="Times New Roman" w:cs="Times New Roman"/>
                <w:b/>
                <w:bCs/>
                <w:color w:val="000000"/>
                <w:szCs w:val="16"/>
                <w:lang w:eastAsia="en-029"/>
              </w:rPr>
              <w:t>Variance (M)</w:t>
            </w:r>
          </w:p>
        </w:tc>
      </w:tr>
      <w:tr w:rsidR="00D11502" w14:paraId="211883CE" w14:textId="77777777" w:rsidTr="00F23B1D">
        <w:trPr>
          <w:trHeight w:val="33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7C8F50B7" w14:textId="77777777" w:rsidR="00CF56FC" w:rsidRPr="007A5A53" w:rsidRDefault="00365B1B" w:rsidP="006F1273">
            <w:pPr>
              <w:spacing w:line="360" w:lineRule="auto"/>
              <w:jc w:val="center"/>
              <w:rPr>
                <w:rFonts w:eastAsia="Times New Roman" w:cs="Times New Roman"/>
                <w:color w:val="000000"/>
                <w:szCs w:val="16"/>
                <w:lang w:eastAsia="en-029"/>
              </w:rPr>
            </w:pPr>
            <w:r w:rsidRPr="007A5A53">
              <w:rPr>
                <w:rFonts w:eastAsia="Times New Roman" w:cs="Times New Roman"/>
                <w:color w:val="000000"/>
                <w:szCs w:val="16"/>
                <w:lang w:eastAsia="en-029"/>
              </w:rPr>
              <w:t>New Financing</w:t>
            </w:r>
          </w:p>
        </w:tc>
      </w:tr>
      <w:tr w:rsidR="00D11502" w14:paraId="15BE69DE" w14:textId="77777777" w:rsidTr="00F23B1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009" w:type="pct"/>
            <w:noWrap/>
            <w:hideMark/>
          </w:tcPr>
          <w:p w14:paraId="44852B1C" w14:textId="77777777" w:rsidR="00CF56FC" w:rsidRPr="007A5A53" w:rsidRDefault="00365B1B" w:rsidP="006F1273">
            <w:pPr>
              <w:spacing w:line="360" w:lineRule="auto"/>
              <w:jc w:val="center"/>
              <w:rPr>
                <w:rFonts w:eastAsia="Times New Roman" w:cs="Times New Roman"/>
                <w:color w:val="000000"/>
                <w:szCs w:val="16"/>
                <w:lang w:eastAsia="en-029"/>
              </w:rPr>
            </w:pPr>
            <w:r w:rsidRPr="007A5A53">
              <w:rPr>
                <w:rFonts w:eastAsia="Times New Roman" w:cs="Times New Roman"/>
                <w:b w:val="0"/>
                <w:color w:val="000000"/>
                <w:szCs w:val="16"/>
                <w:lang w:eastAsia="en-029"/>
              </w:rPr>
              <w:t>Bonds/Notes</w:t>
            </w:r>
          </w:p>
        </w:tc>
        <w:tc>
          <w:tcPr>
            <w:tcW w:w="1574" w:type="pct"/>
            <w:noWrap/>
            <w:hideMark/>
          </w:tcPr>
          <w:p w14:paraId="43D3B0A1" w14:textId="77777777" w:rsidR="00CF56FC" w:rsidRPr="007A5A53" w:rsidRDefault="00365B1B" w:rsidP="006F1273">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16"/>
                <w:lang w:eastAsia="en-029"/>
              </w:rPr>
            </w:pPr>
            <w:r w:rsidRPr="007A5A53">
              <w:rPr>
                <w:rFonts w:eastAsia="Times New Roman" w:cs="Times New Roman"/>
                <w:color w:val="000000"/>
                <w:szCs w:val="16"/>
                <w:lang w:eastAsia="en-029"/>
              </w:rPr>
              <w:t>$                           237.20</w:t>
            </w:r>
          </w:p>
        </w:tc>
        <w:tc>
          <w:tcPr>
            <w:tcW w:w="1454" w:type="pct"/>
            <w:noWrap/>
            <w:hideMark/>
          </w:tcPr>
          <w:p w14:paraId="2B2BFA10" w14:textId="77777777" w:rsidR="00CF56FC" w:rsidRPr="007A5A53" w:rsidRDefault="00365B1B" w:rsidP="006F1273">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16"/>
                <w:lang w:eastAsia="en-029"/>
              </w:rPr>
            </w:pPr>
            <w:r w:rsidRPr="007A5A53">
              <w:rPr>
                <w:rFonts w:eastAsia="Times New Roman" w:cs="Times New Roman"/>
                <w:szCs w:val="16"/>
                <w:lang w:eastAsia="en-029"/>
              </w:rPr>
              <w:t>$      217.88</w:t>
            </w:r>
          </w:p>
        </w:tc>
        <w:tc>
          <w:tcPr>
            <w:tcW w:w="963" w:type="pct"/>
            <w:noWrap/>
            <w:hideMark/>
          </w:tcPr>
          <w:p w14:paraId="51250F07" w14:textId="77777777" w:rsidR="00CF56FC" w:rsidRPr="007A5A53" w:rsidRDefault="00365B1B" w:rsidP="006F1273">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16"/>
                <w:lang w:eastAsia="en-029"/>
              </w:rPr>
            </w:pPr>
            <w:r w:rsidRPr="007A5A53">
              <w:rPr>
                <w:rFonts w:eastAsia="Times New Roman" w:cs="Times New Roman"/>
                <w:color w:val="000000"/>
                <w:szCs w:val="16"/>
                <w:lang w:eastAsia="en-029"/>
              </w:rPr>
              <w:t>-$  19.32</w:t>
            </w:r>
          </w:p>
        </w:tc>
      </w:tr>
      <w:tr w:rsidR="00D11502" w14:paraId="22B62C26" w14:textId="77777777" w:rsidTr="00F23B1D">
        <w:trPr>
          <w:trHeight w:val="315"/>
        </w:trPr>
        <w:tc>
          <w:tcPr>
            <w:cnfStyle w:val="001000000000" w:firstRow="0" w:lastRow="0" w:firstColumn="1" w:lastColumn="0" w:oddVBand="0" w:evenVBand="0" w:oddHBand="0" w:evenHBand="0" w:firstRowFirstColumn="0" w:firstRowLastColumn="0" w:lastRowFirstColumn="0" w:lastRowLastColumn="0"/>
            <w:tcW w:w="1009" w:type="pct"/>
            <w:noWrap/>
            <w:hideMark/>
          </w:tcPr>
          <w:p w14:paraId="44F039D2" w14:textId="77777777" w:rsidR="00CF56FC" w:rsidRPr="007A5A53" w:rsidRDefault="00365B1B" w:rsidP="006F1273">
            <w:pPr>
              <w:spacing w:line="360" w:lineRule="auto"/>
              <w:jc w:val="center"/>
              <w:rPr>
                <w:rFonts w:eastAsia="Times New Roman" w:cs="Times New Roman"/>
                <w:color w:val="000000"/>
                <w:szCs w:val="16"/>
                <w:lang w:eastAsia="en-029"/>
              </w:rPr>
            </w:pPr>
            <w:r w:rsidRPr="007A5A53">
              <w:rPr>
                <w:rFonts w:eastAsia="Times New Roman" w:cs="Times New Roman"/>
                <w:b w:val="0"/>
                <w:color w:val="000000"/>
                <w:szCs w:val="16"/>
                <w:lang w:eastAsia="en-029"/>
              </w:rPr>
              <w:t>Treasury Bills</w:t>
            </w:r>
          </w:p>
        </w:tc>
        <w:tc>
          <w:tcPr>
            <w:tcW w:w="1574" w:type="pct"/>
            <w:noWrap/>
            <w:hideMark/>
          </w:tcPr>
          <w:p w14:paraId="4EE714C4" w14:textId="77777777" w:rsidR="00CF56FC" w:rsidRPr="007A5A53" w:rsidRDefault="00365B1B" w:rsidP="006F1273">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16"/>
                <w:lang w:eastAsia="en-029"/>
              </w:rPr>
            </w:pPr>
            <w:r w:rsidRPr="007A5A53">
              <w:rPr>
                <w:rFonts w:eastAsia="Times New Roman" w:cs="Times New Roman"/>
                <w:color w:val="000000"/>
                <w:szCs w:val="16"/>
                <w:lang w:eastAsia="en-029"/>
              </w:rPr>
              <w:t>$                               3.00</w:t>
            </w:r>
          </w:p>
        </w:tc>
        <w:tc>
          <w:tcPr>
            <w:tcW w:w="1454" w:type="pct"/>
            <w:noWrap/>
            <w:hideMark/>
          </w:tcPr>
          <w:p w14:paraId="12147720" w14:textId="77777777" w:rsidR="00CF56FC" w:rsidRPr="007A5A53" w:rsidRDefault="00365B1B" w:rsidP="006F1273">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16"/>
                <w:lang w:eastAsia="en-029"/>
              </w:rPr>
            </w:pPr>
            <w:r w:rsidRPr="007A5A53">
              <w:rPr>
                <w:rFonts w:eastAsia="Times New Roman" w:cs="Times New Roman"/>
                <w:szCs w:val="16"/>
                <w:lang w:eastAsia="en-029"/>
              </w:rPr>
              <w:t>$        26.79</w:t>
            </w:r>
          </w:p>
        </w:tc>
        <w:tc>
          <w:tcPr>
            <w:tcW w:w="963" w:type="pct"/>
            <w:noWrap/>
            <w:hideMark/>
          </w:tcPr>
          <w:p w14:paraId="362ACAE3" w14:textId="77777777" w:rsidR="00CF56FC" w:rsidRPr="007A5A53" w:rsidRDefault="00365B1B" w:rsidP="006F1273">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16"/>
                <w:lang w:eastAsia="en-029"/>
              </w:rPr>
            </w:pPr>
            <w:r w:rsidRPr="007A5A53">
              <w:rPr>
                <w:rFonts w:eastAsia="Times New Roman" w:cs="Times New Roman"/>
                <w:color w:val="000000"/>
                <w:szCs w:val="16"/>
                <w:lang w:eastAsia="en-029"/>
              </w:rPr>
              <w:t>$   23.79</w:t>
            </w:r>
          </w:p>
        </w:tc>
      </w:tr>
      <w:tr w:rsidR="00D11502" w14:paraId="46DE7762" w14:textId="77777777" w:rsidTr="00F23B1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009" w:type="pct"/>
            <w:noWrap/>
            <w:hideMark/>
          </w:tcPr>
          <w:p w14:paraId="41C884CC" w14:textId="77777777" w:rsidR="00CF56FC" w:rsidRPr="007A5A53" w:rsidRDefault="00365B1B" w:rsidP="006F1273">
            <w:pPr>
              <w:spacing w:line="360" w:lineRule="auto"/>
              <w:jc w:val="center"/>
              <w:rPr>
                <w:rFonts w:eastAsia="Times New Roman" w:cs="Times New Roman"/>
                <w:color w:val="000000"/>
                <w:szCs w:val="16"/>
                <w:lang w:eastAsia="en-029"/>
              </w:rPr>
            </w:pPr>
            <w:r w:rsidRPr="007A5A53">
              <w:rPr>
                <w:rFonts w:eastAsia="Times New Roman" w:cs="Times New Roman"/>
                <w:b w:val="0"/>
                <w:color w:val="000000"/>
                <w:szCs w:val="16"/>
                <w:lang w:eastAsia="en-029"/>
              </w:rPr>
              <w:t>Loans</w:t>
            </w:r>
          </w:p>
        </w:tc>
        <w:tc>
          <w:tcPr>
            <w:tcW w:w="1574" w:type="pct"/>
            <w:noWrap/>
            <w:hideMark/>
          </w:tcPr>
          <w:p w14:paraId="449B5B87" w14:textId="77777777" w:rsidR="00CF56FC" w:rsidRPr="007A5A53" w:rsidRDefault="00365B1B" w:rsidP="006F1273">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16"/>
                <w:lang w:eastAsia="en-029"/>
              </w:rPr>
            </w:pPr>
            <w:r w:rsidRPr="007A5A53">
              <w:rPr>
                <w:rFonts w:eastAsia="Times New Roman" w:cs="Times New Roman"/>
                <w:color w:val="000000"/>
                <w:szCs w:val="16"/>
                <w:lang w:eastAsia="en-029"/>
              </w:rPr>
              <w:t>$                           274.72</w:t>
            </w:r>
          </w:p>
        </w:tc>
        <w:tc>
          <w:tcPr>
            <w:tcW w:w="1454" w:type="pct"/>
            <w:noWrap/>
            <w:hideMark/>
          </w:tcPr>
          <w:p w14:paraId="17132695" w14:textId="77777777" w:rsidR="00CF56FC" w:rsidRPr="007A5A53" w:rsidRDefault="00365B1B" w:rsidP="006F1273">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16"/>
                <w:lang w:eastAsia="en-029"/>
              </w:rPr>
            </w:pPr>
            <w:r w:rsidRPr="007A5A53">
              <w:rPr>
                <w:rFonts w:eastAsia="Times New Roman" w:cs="Times New Roman"/>
                <w:szCs w:val="16"/>
                <w:lang w:eastAsia="en-029"/>
              </w:rPr>
              <w:t>$      322.37</w:t>
            </w:r>
          </w:p>
        </w:tc>
        <w:tc>
          <w:tcPr>
            <w:tcW w:w="963" w:type="pct"/>
            <w:noWrap/>
            <w:hideMark/>
          </w:tcPr>
          <w:p w14:paraId="54BBE21E" w14:textId="77777777" w:rsidR="00CF56FC" w:rsidRPr="007A5A53" w:rsidRDefault="00365B1B" w:rsidP="006F1273">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16"/>
                <w:lang w:eastAsia="en-029"/>
              </w:rPr>
            </w:pPr>
            <w:r w:rsidRPr="007A5A53">
              <w:rPr>
                <w:rFonts w:eastAsia="Times New Roman" w:cs="Times New Roman"/>
                <w:color w:val="000000"/>
                <w:szCs w:val="16"/>
                <w:lang w:eastAsia="en-029"/>
              </w:rPr>
              <w:t>$   47.65</w:t>
            </w:r>
          </w:p>
        </w:tc>
      </w:tr>
      <w:tr w:rsidR="00D11502" w14:paraId="57C92E2D" w14:textId="77777777" w:rsidTr="00F23B1D">
        <w:trPr>
          <w:trHeight w:val="330"/>
        </w:trPr>
        <w:tc>
          <w:tcPr>
            <w:cnfStyle w:val="001000000000" w:firstRow="0" w:lastRow="0" w:firstColumn="1" w:lastColumn="0" w:oddVBand="0" w:evenVBand="0" w:oddHBand="0" w:evenHBand="0" w:firstRowFirstColumn="0" w:firstRowLastColumn="0" w:lastRowFirstColumn="0" w:lastRowLastColumn="0"/>
            <w:tcW w:w="1009" w:type="pct"/>
            <w:noWrap/>
            <w:hideMark/>
          </w:tcPr>
          <w:p w14:paraId="5F96C650" w14:textId="77777777" w:rsidR="00CF56FC" w:rsidRPr="007A5A53" w:rsidRDefault="00365B1B" w:rsidP="006F1273">
            <w:pPr>
              <w:spacing w:line="360" w:lineRule="auto"/>
              <w:jc w:val="center"/>
              <w:rPr>
                <w:rFonts w:eastAsia="Times New Roman" w:cs="Times New Roman"/>
                <w:color w:val="000000"/>
                <w:szCs w:val="16"/>
                <w:lang w:eastAsia="en-029"/>
              </w:rPr>
            </w:pPr>
            <w:r w:rsidRPr="007A5A53">
              <w:rPr>
                <w:rFonts w:eastAsia="Times New Roman" w:cs="Times New Roman"/>
                <w:color w:val="000000"/>
                <w:szCs w:val="16"/>
                <w:lang w:eastAsia="en-029"/>
              </w:rPr>
              <w:t>Sub-Total</w:t>
            </w:r>
          </w:p>
        </w:tc>
        <w:tc>
          <w:tcPr>
            <w:tcW w:w="1574" w:type="pct"/>
            <w:noWrap/>
            <w:hideMark/>
          </w:tcPr>
          <w:p w14:paraId="3642D17E" w14:textId="77777777" w:rsidR="00CF56FC" w:rsidRPr="007A5A53" w:rsidRDefault="00365B1B" w:rsidP="006F1273">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16"/>
                <w:lang w:eastAsia="en-029"/>
              </w:rPr>
            </w:pPr>
            <w:r w:rsidRPr="007A5A53">
              <w:rPr>
                <w:rFonts w:eastAsia="Times New Roman" w:cs="Times New Roman"/>
                <w:b/>
                <w:bCs/>
                <w:color w:val="000000"/>
                <w:szCs w:val="16"/>
                <w:lang w:eastAsia="en-029"/>
              </w:rPr>
              <w:t>$                           514.92</w:t>
            </w:r>
          </w:p>
        </w:tc>
        <w:tc>
          <w:tcPr>
            <w:tcW w:w="1454" w:type="pct"/>
            <w:noWrap/>
            <w:hideMark/>
          </w:tcPr>
          <w:p w14:paraId="3C6B8DDD" w14:textId="77777777" w:rsidR="00CF56FC" w:rsidRPr="007A5A53" w:rsidRDefault="00365B1B" w:rsidP="006F1273">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szCs w:val="16"/>
                <w:lang w:eastAsia="en-029"/>
              </w:rPr>
            </w:pPr>
            <w:r w:rsidRPr="007A5A53">
              <w:rPr>
                <w:rFonts w:eastAsia="Times New Roman" w:cs="Times New Roman"/>
                <w:b/>
                <w:bCs/>
                <w:szCs w:val="16"/>
                <w:lang w:eastAsia="en-029"/>
              </w:rPr>
              <w:t>$      567.05</w:t>
            </w:r>
          </w:p>
        </w:tc>
        <w:tc>
          <w:tcPr>
            <w:tcW w:w="963" w:type="pct"/>
            <w:noWrap/>
            <w:hideMark/>
          </w:tcPr>
          <w:p w14:paraId="052E2EE1" w14:textId="77777777" w:rsidR="00CF56FC" w:rsidRPr="007A5A53" w:rsidRDefault="00365B1B" w:rsidP="006F1273">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16"/>
                <w:lang w:eastAsia="en-029"/>
              </w:rPr>
            </w:pPr>
            <w:r w:rsidRPr="007A5A53">
              <w:rPr>
                <w:rFonts w:eastAsia="Times New Roman" w:cs="Times New Roman"/>
                <w:b/>
                <w:bCs/>
                <w:color w:val="000000"/>
                <w:szCs w:val="16"/>
                <w:lang w:eastAsia="en-029"/>
              </w:rPr>
              <w:t>$   52.13</w:t>
            </w:r>
          </w:p>
        </w:tc>
      </w:tr>
      <w:tr w:rsidR="00D11502" w14:paraId="20E3CB25" w14:textId="77777777" w:rsidTr="00F23B1D">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5BFD5647" w14:textId="77777777" w:rsidR="00CF56FC" w:rsidRPr="007A5A53" w:rsidRDefault="00365B1B" w:rsidP="006F1273">
            <w:pPr>
              <w:spacing w:line="360" w:lineRule="auto"/>
              <w:jc w:val="center"/>
              <w:rPr>
                <w:rFonts w:eastAsia="Times New Roman" w:cs="Times New Roman"/>
                <w:color w:val="000000"/>
                <w:szCs w:val="16"/>
                <w:lang w:eastAsia="en-029"/>
              </w:rPr>
            </w:pPr>
            <w:r w:rsidRPr="007A5A53">
              <w:rPr>
                <w:rFonts w:eastAsia="Times New Roman" w:cs="Times New Roman"/>
                <w:color w:val="000000"/>
                <w:szCs w:val="16"/>
                <w:lang w:eastAsia="en-029"/>
              </w:rPr>
              <w:t>Rollover Financing</w:t>
            </w:r>
          </w:p>
        </w:tc>
      </w:tr>
      <w:tr w:rsidR="00D11502" w14:paraId="42C7BB9D" w14:textId="77777777" w:rsidTr="00F23B1D">
        <w:trPr>
          <w:trHeight w:val="315"/>
        </w:trPr>
        <w:tc>
          <w:tcPr>
            <w:cnfStyle w:val="001000000000" w:firstRow="0" w:lastRow="0" w:firstColumn="1" w:lastColumn="0" w:oddVBand="0" w:evenVBand="0" w:oddHBand="0" w:evenHBand="0" w:firstRowFirstColumn="0" w:firstRowLastColumn="0" w:lastRowFirstColumn="0" w:lastRowLastColumn="0"/>
            <w:tcW w:w="1009" w:type="pct"/>
            <w:noWrap/>
            <w:hideMark/>
          </w:tcPr>
          <w:p w14:paraId="5DF50CC0" w14:textId="77777777" w:rsidR="00CF56FC" w:rsidRPr="007A5A53" w:rsidRDefault="00365B1B" w:rsidP="006F1273">
            <w:pPr>
              <w:spacing w:line="360" w:lineRule="auto"/>
              <w:jc w:val="center"/>
              <w:rPr>
                <w:rFonts w:eastAsia="Times New Roman" w:cs="Times New Roman"/>
                <w:color w:val="000000"/>
                <w:szCs w:val="16"/>
                <w:lang w:eastAsia="en-029"/>
              </w:rPr>
            </w:pPr>
            <w:r w:rsidRPr="007A5A53">
              <w:rPr>
                <w:rFonts w:eastAsia="Times New Roman" w:cs="Times New Roman"/>
                <w:b w:val="0"/>
                <w:color w:val="000000"/>
                <w:szCs w:val="16"/>
                <w:lang w:eastAsia="en-029"/>
              </w:rPr>
              <w:t>Bonds/Notes</w:t>
            </w:r>
          </w:p>
        </w:tc>
        <w:tc>
          <w:tcPr>
            <w:tcW w:w="1574" w:type="pct"/>
            <w:noWrap/>
            <w:hideMark/>
          </w:tcPr>
          <w:p w14:paraId="1CF71870" w14:textId="77777777" w:rsidR="00CF56FC" w:rsidRPr="007A5A53" w:rsidRDefault="00365B1B" w:rsidP="006F1273">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16"/>
                <w:lang w:eastAsia="en-029"/>
              </w:rPr>
            </w:pPr>
            <w:r w:rsidRPr="007A5A53">
              <w:rPr>
                <w:rFonts w:eastAsia="Times New Roman" w:cs="Times New Roman"/>
                <w:color w:val="000000"/>
                <w:szCs w:val="16"/>
                <w:lang w:eastAsia="en-029"/>
              </w:rPr>
              <w:t>$                           383.76</w:t>
            </w:r>
          </w:p>
        </w:tc>
        <w:tc>
          <w:tcPr>
            <w:tcW w:w="1454" w:type="pct"/>
            <w:noWrap/>
            <w:hideMark/>
          </w:tcPr>
          <w:p w14:paraId="4E714FBC" w14:textId="77777777" w:rsidR="00CF56FC" w:rsidRPr="007A5A53" w:rsidRDefault="00365B1B" w:rsidP="006F1273">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16"/>
                <w:lang w:eastAsia="en-029"/>
              </w:rPr>
            </w:pPr>
            <w:r w:rsidRPr="007A5A53">
              <w:rPr>
                <w:rFonts w:eastAsia="Times New Roman" w:cs="Times New Roman"/>
                <w:szCs w:val="16"/>
                <w:lang w:eastAsia="en-029"/>
              </w:rPr>
              <w:t>$      447.76</w:t>
            </w:r>
          </w:p>
        </w:tc>
        <w:tc>
          <w:tcPr>
            <w:tcW w:w="963" w:type="pct"/>
            <w:noWrap/>
            <w:hideMark/>
          </w:tcPr>
          <w:p w14:paraId="6C0CD156" w14:textId="77777777" w:rsidR="00CF56FC" w:rsidRPr="007A5A53" w:rsidRDefault="00365B1B" w:rsidP="006F1273">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16"/>
                <w:lang w:eastAsia="en-029"/>
              </w:rPr>
            </w:pPr>
            <w:r w:rsidRPr="007A5A53">
              <w:rPr>
                <w:rFonts w:eastAsia="Times New Roman" w:cs="Times New Roman"/>
                <w:color w:val="000000"/>
                <w:szCs w:val="16"/>
                <w:lang w:eastAsia="en-029"/>
              </w:rPr>
              <w:t>$   64.00</w:t>
            </w:r>
          </w:p>
        </w:tc>
      </w:tr>
      <w:tr w:rsidR="00D11502" w14:paraId="747BD5EB" w14:textId="77777777" w:rsidTr="00F23B1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009" w:type="pct"/>
            <w:noWrap/>
            <w:hideMark/>
          </w:tcPr>
          <w:p w14:paraId="03755B1E" w14:textId="77777777" w:rsidR="00CF56FC" w:rsidRPr="007A5A53" w:rsidRDefault="00365B1B" w:rsidP="006F1273">
            <w:pPr>
              <w:spacing w:line="360" w:lineRule="auto"/>
              <w:jc w:val="center"/>
              <w:rPr>
                <w:rFonts w:eastAsia="Times New Roman" w:cs="Times New Roman"/>
                <w:color w:val="000000"/>
                <w:szCs w:val="16"/>
                <w:lang w:eastAsia="en-029"/>
              </w:rPr>
            </w:pPr>
            <w:r w:rsidRPr="007A5A53">
              <w:rPr>
                <w:rFonts w:eastAsia="Times New Roman" w:cs="Times New Roman"/>
                <w:b w:val="0"/>
                <w:color w:val="000000"/>
                <w:szCs w:val="16"/>
                <w:lang w:eastAsia="en-029"/>
              </w:rPr>
              <w:t>Treasury Bills</w:t>
            </w:r>
          </w:p>
        </w:tc>
        <w:tc>
          <w:tcPr>
            <w:tcW w:w="1574" w:type="pct"/>
            <w:noWrap/>
            <w:hideMark/>
          </w:tcPr>
          <w:p w14:paraId="483542A6" w14:textId="77777777" w:rsidR="00CF56FC" w:rsidRPr="007A5A53" w:rsidRDefault="00365B1B" w:rsidP="006F1273">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16"/>
                <w:lang w:eastAsia="en-029"/>
              </w:rPr>
            </w:pPr>
            <w:r w:rsidRPr="007A5A53">
              <w:rPr>
                <w:rFonts w:eastAsia="Times New Roman" w:cs="Times New Roman"/>
                <w:color w:val="000000"/>
                <w:szCs w:val="16"/>
                <w:lang w:eastAsia="en-029"/>
              </w:rPr>
              <w:t>$                           340.04</w:t>
            </w:r>
          </w:p>
        </w:tc>
        <w:tc>
          <w:tcPr>
            <w:tcW w:w="1454" w:type="pct"/>
            <w:noWrap/>
            <w:hideMark/>
          </w:tcPr>
          <w:p w14:paraId="3E4AAF59" w14:textId="77777777" w:rsidR="00CF56FC" w:rsidRPr="007A5A53" w:rsidRDefault="00365B1B" w:rsidP="006F1273">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16"/>
                <w:lang w:eastAsia="en-029"/>
              </w:rPr>
            </w:pPr>
            <w:r w:rsidRPr="007A5A53">
              <w:rPr>
                <w:rFonts w:eastAsia="Times New Roman" w:cs="Times New Roman"/>
                <w:szCs w:val="16"/>
                <w:lang w:eastAsia="en-029"/>
              </w:rPr>
              <w:t>$      340.04</w:t>
            </w:r>
          </w:p>
        </w:tc>
        <w:tc>
          <w:tcPr>
            <w:tcW w:w="963" w:type="pct"/>
            <w:noWrap/>
            <w:hideMark/>
          </w:tcPr>
          <w:p w14:paraId="5235C964" w14:textId="77777777" w:rsidR="00CF56FC" w:rsidRPr="007A5A53" w:rsidRDefault="00365B1B" w:rsidP="006F1273">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16"/>
                <w:lang w:eastAsia="en-029"/>
              </w:rPr>
            </w:pPr>
            <w:r w:rsidRPr="007A5A53">
              <w:rPr>
                <w:rFonts w:eastAsia="Times New Roman" w:cs="Times New Roman"/>
                <w:color w:val="000000"/>
                <w:szCs w:val="16"/>
                <w:lang w:eastAsia="en-029"/>
              </w:rPr>
              <w:t>$        -</w:t>
            </w:r>
          </w:p>
        </w:tc>
      </w:tr>
      <w:tr w:rsidR="00D11502" w14:paraId="3F42E41B" w14:textId="77777777" w:rsidTr="00F23B1D">
        <w:trPr>
          <w:trHeight w:val="315"/>
        </w:trPr>
        <w:tc>
          <w:tcPr>
            <w:cnfStyle w:val="001000000000" w:firstRow="0" w:lastRow="0" w:firstColumn="1" w:lastColumn="0" w:oddVBand="0" w:evenVBand="0" w:oddHBand="0" w:evenHBand="0" w:firstRowFirstColumn="0" w:firstRowLastColumn="0" w:lastRowFirstColumn="0" w:lastRowLastColumn="0"/>
            <w:tcW w:w="1009" w:type="pct"/>
            <w:noWrap/>
            <w:hideMark/>
          </w:tcPr>
          <w:p w14:paraId="4DCA9B58" w14:textId="77777777" w:rsidR="00CF56FC" w:rsidRPr="007A5A53" w:rsidRDefault="00365B1B" w:rsidP="006F1273">
            <w:pPr>
              <w:spacing w:line="360" w:lineRule="auto"/>
              <w:jc w:val="center"/>
              <w:rPr>
                <w:rFonts w:eastAsia="Times New Roman" w:cs="Times New Roman"/>
                <w:color w:val="000000"/>
                <w:szCs w:val="16"/>
                <w:lang w:eastAsia="en-029"/>
              </w:rPr>
            </w:pPr>
            <w:r w:rsidRPr="007A5A53">
              <w:rPr>
                <w:rFonts w:eastAsia="Times New Roman" w:cs="Times New Roman"/>
                <w:color w:val="000000"/>
                <w:szCs w:val="16"/>
                <w:lang w:eastAsia="en-029"/>
              </w:rPr>
              <w:t>Sub-Total</w:t>
            </w:r>
          </w:p>
        </w:tc>
        <w:tc>
          <w:tcPr>
            <w:tcW w:w="1574" w:type="pct"/>
            <w:noWrap/>
            <w:hideMark/>
          </w:tcPr>
          <w:p w14:paraId="70B66C49" w14:textId="77777777" w:rsidR="00CF56FC" w:rsidRPr="007A5A53" w:rsidRDefault="00365B1B" w:rsidP="006F1273">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16"/>
                <w:lang w:eastAsia="en-029"/>
              </w:rPr>
            </w:pPr>
            <w:r w:rsidRPr="007A5A53">
              <w:rPr>
                <w:rFonts w:eastAsia="Times New Roman" w:cs="Times New Roman"/>
                <w:b/>
                <w:bCs/>
                <w:color w:val="000000"/>
                <w:szCs w:val="16"/>
                <w:lang w:eastAsia="en-029"/>
              </w:rPr>
              <w:t>$                           723.80</w:t>
            </w:r>
          </w:p>
        </w:tc>
        <w:tc>
          <w:tcPr>
            <w:tcW w:w="1454" w:type="pct"/>
            <w:noWrap/>
            <w:hideMark/>
          </w:tcPr>
          <w:p w14:paraId="21652D40" w14:textId="77777777" w:rsidR="00CF56FC" w:rsidRPr="007A5A53" w:rsidRDefault="00365B1B" w:rsidP="006F1273">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szCs w:val="16"/>
                <w:lang w:eastAsia="en-029"/>
              </w:rPr>
            </w:pPr>
            <w:r w:rsidRPr="007A5A53">
              <w:rPr>
                <w:rFonts w:eastAsia="Times New Roman" w:cs="Times New Roman"/>
                <w:b/>
                <w:bCs/>
                <w:szCs w:val="16"/>
                <w:lang w:eastAsia="en-029"/>
              </w:rPr>
              <w:t>$      787.80</w:t>
            </w:r>
          </w:p>
        </w:tc>
        <w:tc>
          <w:tcPr>
            <w:tcW w:w="963" w:type="pct"/>
            <w:noWrap/>
            <w:hideMark/>
          </w:tcPr>
          <w:p w14:paraId="4185A620" w14:textId="77777777" w:rsidR="00CF56FC" w:rsidRPr="007A5A53" w:rsidRDefault="00365B1B" w:rsidP="006F1273">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16"/>
                <w:lang w:eastAsia="en-029"/>
              </w:rPr>
            </w:pPr>
            <w:r w:rsidRPr="007A5A53">
              <w:rPr>
                <w:rFonts w:eastAsia="Times New Roman" w:cs="Times New Roman"/>
                <w:b/>
                <w:bCs/>
                <w:color w:val="000000"/>
                <w:szCs w:val="16"/>
                <w:lang w:eastAsia="en-029"/>
              </w:rPr>
              <w:t>$   64.00</w:t>
            </w:r>
          </w:p>
        </w:tc>
      </w:tr>
      <w:tr w:rsidR="00D11502" w14:paraId="51212A80" w14:textId="77777777" w:rsidTr="00F23B1D">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009" w:type="pct"/>
            <w:noWrap/>
            <w:hideMark/>
          </w:tcPr>
          <w:p w14:paraId="0435A86B" w14:textId="77777777" w:rsidR="00CF56FC" w:rsidRPr="007A5A53" w:rsidRDefault="00365B1B" w:rsidP="006F1273">
            <w:pPr>
              <w:spacing w:line="360" w:lineRule="auto"/>
              <w:jc w:val="center"/>
              <w:rPr>
                <w:rFonts w:eastAsia="Times New Roman" w:cs="Times New Roman"/>
                <w:color w:val="000000"/>
                <w:szCs w:val="16"/>
                <w:lang w:eastAsia="en-029"/>
              </w:rPr>
            </w:pPr>
            <w:r w:rsidRPr="007A5A53">
              <w:rPr>
                <w:rFonts w:eastAsia="Times New Roman" w:cs="Times New Roman"/>
                <w:color w:val="000000"/>
                <w:szCs w:val="16"/>
                <w:lang w:eastAsia="en-029"/>
              </w:rPr>
              <w:t>Grand Total</w:t>
            </w:r>
          </w:p>
        </w:tc>
        <w:tc>
          <w:tcPr>
            <w:tcW w:w="1574" w:type="pct"/>
            <w:noWrap/>
            <w:hideMark/>
          </w:tcPr>
          <w:p w14:paraId="198AC4B9" w14:textId="77777777" w:rsidR="00CF56FC" w:rsidRPr="007A5A53" w:rsidRDefault="00365B1B" w:rsidP="006F1273">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16"/>
                <w:lang w:eastAsia="en-029"/>
              </w:rPr>
            </w:pPr>
            <w:r w:rsidRPr="007A5A53">
              <w:rPr>
                <w:rFonts w:eastAsia="Times New Roman" w:cs="Times New Roman"/>
                <w:b/>
                <w:bCs/>
                <w:color w:val="000000"/>
                <w:szCs w:val="16"/>
                <w:lang w:eastAsia="en-029"/>
              </w:rPr>
              <w:t>$                        1,238.72</w:t>
            </w:r>
          </w:p>
        </w:tc>
        <w:tc>
          <w:tcPr>
            <w:tcW w:w="1454" w:type="pct"/>
            <w:noWrap/>
            <w:hideMark/>
          </w:tcPr>
          <w:p w14:paraId="7BA9BB5B" w14:textId="77777777" w:rsidR="00CF56FC" w:rsidRPr="007A5A53" w:rsidRDefault="00365B1B" w:rsidP="006F1273">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16"/>
                <w:lang w:eastAsia="en-029"/>
              </w:rPr>
            </w:pPr>
            <w:r w:rsidRPr="007A5A53">
              <w:rPr>
                <w:rFonts w:eastAsia="Times New Roman" w:cs="Times New Roman"/>
                <w:b/>
                <w:bCs/>
                <w:szCs w:val="16"/>
                <w:lang w:eastAsia="en-029"/>
              </w:rPr>
              <w:t>$   1,354.85</w:t>
            </w:r>
          </w:p>
        </w:tc>
        <w:tc>
          <w:tcPr>
            <w:tcW w:w="963" w:type="pct"/>
            <w:noWrap/>
            <w:hideMark/>
          </w:tcPr>
          <w:p w14:paraId="39857D35" w14:textId="77777777" w:rsidR="00CF56FC" w:rsidRPr="007A5A53" w:rsidRDefault="00365B1B" w:rsidP="006F1273">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16"/>
                <w:lang w:eastAsia="en-029"/>
              </w:rPr>
            </w:pPr>
            <w:r w:rsidRPr="007A5A53">
              <w:rPr>
                <w:rFonts w:eastAsia="Times New Roman" w:cs="Times New Roman"/>
                <w:b/>
                <w:bCs/>
                <w:color w:val="000000"/>
                <w:szCs w:val="16"/>
                <w:lang w:eastAsia="en-029"/>
              </w:rPr>
              <w:t>$ 116.13</w:t>
            </w:r>
          </w:p>
        </w:tc>
      </w:tr>
    </w:tbl>
    <w:p w14:paraId="00685EF3" w14:textId="77777777" w:rsidR="0010713C" w:rsidRPr="00191D34" w:rsidRDefault="00365B1B" w:rsidP="00191D34">
      <w:pPr>
        <w:pStyle w:val="Heading1"/>
        <w:spacing w:line="480" w:lineRule="auto"/>
        <w:rPr>
          <w:rFonts w:cs="Times New Roman"/>
          <w:sz w:val="24"/>
          <w:szCs w:val="24"/>
        </w:rPr>
      </w:pPr>
      <w:bookmarkStart w:id="148" w:name="_Toc102558948"/>
      <w:r w:rsidRPr="00BB3D52">
        <w:rPr>
          <w:rFonts w:cs="Times New Roman"/>
          <w:sz w:val="24"/>
          <w:szCs w:val="24"/>
        </w:rPr>
        <w:t>Anne</w:t>
      </w:r>
      <w:bookmarkEnd w:id="148"/>
      <w:r w:rsidR="00191D34">
        <w:rPr>
          <w:rFonts w:cs="Times New Roman"/>
          <w:sz w:val="24"/>
          <w:szCs w:val="24"/>
        </w:rPr>
        <w:t>x</w:t>
      </w:r>
    </w:p>
    <w:p w14:paraId="3F0F39B7" w14:textId="77777777" w:rsidR="00191D34" w:rsidRPr="00191D34" w:rsidRDefault="00365B1B" w:rsidP="005F50C5">
      <w:bookmarkStart w:id="149" w:name="_Toc102560589"/>
      <w:r w:rsidRPr="00191D34">
        <w:t xml:space="preserve">Table </w:t>
      </w:r>
      <w:r w:rsidR="002E1637">
        <w:fldChar w:fldCharType="begin"/>
      </w:r>
      <w:r w:rsidR="002E1637">
        <w:instrText xml:space="preserve"> SEQ Table \* ARABIC </w:instrText>
      </w:r>
      <w:r w:rsidR="002E1637">
        <w:fldChar w:fldCharType="separate"/>
      </w:r>
      <w:r w:rsidR="00BC73C8">
        <w:rPr>
          <w:noProof/>
        </w:rPr>
        <w:t>3</w:t>
      </w:r>
      <w:r w:rsidR="002E1637">
        <w:rPr>
          <w:noProof/>
        </w:rPr>
        <w:fldChar w:fldCharType="end"/>
      </w:r>
      <w:r w:rsidRPr="00191D34">
        <w:t>: Fiscal and Real Sector Indicators</w:t>
      </w:r>
      <w:bookmarkEnd w:id="149"/>
    </w:p>
    <w:p w14:paraId="50EB346A" w14:textId="77777777" w:rsidR="003C6D25" w:rsidRDefault="003C6D25" w:rsidP="003C6D25">
      <w:pPr>
        <w:pStyle w:val="Heading2"/>
      </w:pPr>
    </w:p>
    <w:tbl>
      <w:tblPr>
        <w:tblW w:w="5000" w:type="pct"/>
        <w:tblLook w:val="04A0" w:firstRow="1" w:lastRow="0" w:firstColumn="1" w:lastColumn="0" w:noHBand="0" w:noVBand="1"/>
      </w:tblPr>
      <w:tblGrid>
        <w:gridCol w:w="4532"/>
        <w:gridCol w:w="962"/>
        <w:gridCol w:w="962"/>
        <w:gridCol w:w="962"/>
        <w:gridCol w:w="962"/>
        <w:gridCol w:w="960"/>
      </w:tblGrid>
      <w:tr w:rsidR="00FD2E6E" w:rsidRPr="00911E35" w14:paraId="483FB3CB" w14:textId="77777777" w:rsidTr="00557612">
        <w:trPr>
          <w:trHeight w:val="315"/>
        </w:trPr>
        <w:tc>
          <w:tcPr>
            <w:tcW w:w="5000" w:type="pct"/>
            <w:gridSpan w:val="6"/>
            <w:tcBorders>
              <w:top w:val="single" w:sz="8" w:space="0" w:color="4F81BD"/>
              <w:left w:val="single" w:sz="8" w:space="0" w:color="4F81BD"/>
              <w:bottom w:val="single" w:sz="8" w:space="0" w:color="4F81BD"/>
              <w:right w:val="single" w:sz="8" w:space="0" w:color="4F81BD"/>
            </w:tcBorders>
            <w:shd w:val="clear" w:color="000000" w:fill="4F81BD"/>
            <w:noWrap/>
            <w:hideMark/>
          </w:tcPr>
          <w:p w14:paraId="40D50C25" w14:textId="77777777" w:rsidR="00FD2E6E" w:rsidRPr="00911E35" w:rsidRDefault="00FD2E6E" w:rsidP="00557612">
            <w:pPr>
              <w:rPr>
                <w:lang w:val="en-US"/>
              </w:rPr>
            </w:pPr>
            <w:r w:rsidRPr="00911E35">
              <w:rPr>
                <w:lang w:val="en-US"/>
              </w:rPr>
              <w:t> </w:t>
            </w:r>
          </w:p>
        </w:tc>
      </w:tr>
      <w:tr w:rsidR="00FD2E6E" w:rsidRPr="00911E35" w14:paraId="4711140B" w14:textId="77777777" w:rsidTr="00557612">
        <w:trPr>
          <w:trHeight w:val="315"/>
        </w:trPr>
        <w:tc>
          <w:tcPr>
            <w:tcW w:w="2426" w:type="pct"/>
            <w:tcBorders>
              <w:top w:val="nil"/>
              <w:left w:val="single" w:sz="8" w:space="0" w:color="95B3D7"/>
              <w:bottom w:val="single" w:sz="8" w:space="0" w:color="95B3D7"/>
              <w:right w:val="single" w:sz="8" w:space="0" w:color="95B3D7"/>
            </w:tcBorders>
            <w:shd w:val="clear" w:color="000000" w:fill="DBE5F1"/>
            <w:noWrap/>
            <w:hideMark/>
          </w:tcPr>
          <w:p w14:paraId="4EE1501B" w14:textId="77777777" w:rsidR="00FD2E6E" w:rsidRPr="00911E35" w:rsidRDefault="00FD2E6E" w:rsidP="00557612">
            <w:pPr>
              <w:rPr>
                <w:lang w:val="en-US"/>
              </w:rPr>
            </w:pPr>
            <w:r w:rsidRPr="00911E35">
              <w:rPr>
                <w:lang w:val="en-US"/>
              </w:rPr>
              <w:t> </w:t>
            </w:r>
          </w:p>
        </w:tc>
        <w:tc>
          <w:tcPr>
            <w:tcW w:w="515" w:type="pct"/>
            <w:tcBorders>
              <w:top w:val="nil"/>
              <w:left w:val="nil"/>
              <w:bottom w:val="single" w:sz="8" w:space="0" w:color="95B3D7"/>
              <w:right w:val="single" w:sz="8" w:space="0" w:color="95B3D7"/>
            </w:tcBorders>
            <w:shd w:val="clear" w:color="000000" w:fill="DBE5F1"/>
            <w:noWrap/>
            <w:vAlign w:val="center"/>
            <w:hideMark/>
          </w:tcPr>
          <w:p w14:paraId="34CB0216" w14:textId="77777777" w:rsidR="00FD2E6E" w:rsidRPr="00911E35" w:rsidRDefault="00FD2E6E" w:rsidP="00557612">
            <w:pPr>
              <w:rPr>
                <w:b/>
                <w:bCs/>
                <w:lang w:val="en-US"/>
              </w:rPr>
            </w:pPr>
            <w:r w:rsidRPr="00911E35">
              <w:rPr>
                <w:b/>
                <w:bCs/>
                <w:lang w:val="en-US"/>
              </w:rPr>
              <w:t>2017</w:t>
            </w:r>
          </w:p>
        </w:tc>
        <w:tc>
          <w:tcPr>
            <w:tcW w:w="515" w:type="pct"/>
            <w:tcBorders>
              <w:top w:val="nil"/>
              <w:left w:val="nil"/>
              <w:bottom w:val="single" w:sz="8" w:space="0" w:color="95B3D7"/>
              <w:right w:val="single" w:sz="8" w:space="0" w:color="95B3D7"/>
            </w:tcBorders>
            <w:shd w:val="clear" w:color="000000" w:fill="DBE5F1"/>
            <w:noWrap/>
            <w:vAlign w:val="center"/>
            <w:hideMark/>
          </w:tcPr>
          <w:p w14:paraId="6B1BDD82" w14:textId="77777777" w:rsidR="00FD2E6E" w:rsidRPr="00911E35" w:rsidRDefault="00FD2E6E" w:rsidP="00557612">
            <w:pPr>
              <w:rPr>
                <w:b/>
                <w:bCs/>
                <w:lang w:val="en-US"/>
              </w:rPr>
            </w:pPr>
            <w:r w:rsidRPr="00911E35">
              <w:rPr>
                <w:b/>
                <w:bCs/>
                <w:lang w:val="en-US"/>
              </w:rPr>
              <w:t>2018</w:t>
            </w:r>
          </w:p>
        </w:tc>
        <w:tc>
          <w:tcPr>
            <w:tcW w:w="515" w:type="pct"/>
            <w:tcBorders>
              <w:top w:val="nil"/>
              <w:left w:val="nil"/>
              <w:bottom w:val="single" w:sz="8" w:space="0" w:color="95B3D7"/>
              <w:right w:val="single" w:sz="8" w:space="0" w:color="95B3D7"/>
            </w:tcBorders>
            <w:shd w:val="clear" w:color="000000" w:fill="DBE5F1"/>
            <w:noWrap/>
            <w:vAlign w:val="center"/>
            <w:hideMark/>
          </w:tcPr>
          <w:p w14:paraId="270DA410" w14:textId="77777777" w:rsidR="00FD2E6E" w:rsidRPr="00911E35" w:rsidRDefault="00FD2E6E" w:rsidP="00557612">
            <w:pPr>
              <w:rPr>
                <w:b/>
                <w:bCs/>
                <w:lang w:val="en-US"/>
              </w:rPr>
            </w:pPr>
            <w:r w:rsidRPr="00911E35">
              <w:rPr>
                <w:b/>
                <w:bCs/>
                <w:lang w:val="en-US"/>
              </w:rPr>
              <w:t>2019</w:t>
            </w:r>
          </w:p>
        </w:tc>
        <w:tc>
          <w:tcPr>
            <w:tcW w:w="515" w:type="pct"/>
            <w:tcBorders>
              <w:top w:val="nil"/>
              <w:left w:val="nil"/>
              <w:bottom w:val="single" w:sz="8" w:space="0" w:color="95B3D7"/>
              <w:right w:val="single" w:sz="8" w:space="0" w:color="95B3D7"/>
            </w:tcBorders>
            <w:shd w:val="clear" w:color="000000" w:fill="DBE5F1"/>
            <w:noWrap/>
            <w:vAlign w:val="center"/>
            <w:hideMark/>
          </w:tcPr>
          <w:p w14:paraId="515BB993" w14:textId="77777777" w:rsidR="00FD2E6E" w:rsidRPr="00911E35" w:rsidRDefault="00FD2E6E" w:rsidP="00557612">
            <w:pPr>
              <w:rPr>
                <w:b/>
                <w:bCs/>
                <w:lang w:val="en-US"/>
              </w:rPr>
            </w:pPr>
            <w:r w:rsidRPr="00911E35">
              <w:rPr>
                <w:b/>
                <w:bCs/>
                <w:lang w:val="en-US"/>
              </w:rPr>
              <w:t>2020</w:t>
            </w:r>
          </w:p>
        </w:tc>
        <w:tc>
          <w:tcPr>
            <w:tcW w:w="515" w:type="pct"/>
            <w:tcBorders>
              <w:top w:val="nil"/>
              <w:left w:val="nil"/>
              <w:bottom w:val="single" w:sz="8" w:space="0" w:color="95B3D7"/>
              <w:right w:val="single" w:sz="8" w:space="0" w:color="95B3D7"/>
            </w:tcBorders>
            <w:shd w:val="clear" w:color="000000" w:fill="DBE5F1"/>
            <w:noWrap/>
            <w:vAlign w:val="center"/>
            <w:hideMark/>
          </w:tcPr>
          <w:p w14:paraId="46EB2C58" w14:textId="77777777" w:rsidR="00FD2E6E" w:rsidRPr="00911E35" w:rsidRDefault="00FD2E6E" w:rsidP="00557612">
            <w:pPr>
              <w:rPr>
                <w:b/>
                <w:bCs/>
                <w:lang w:val="en-US"/>
              </w:rPr>
            </w:pPr>
            <w:r w:rsidRPr="00911E35">
              <w:rPr>
                <w:b/>
                <w:bCs/>
                <w:lang w:val="en-US"/>
              </w:rPr>
              <w:t>2021</w:t>
            </w:r>
          </w:p>
        </w:tc>
      </w:tr>
      <w:tr w:rsidR="00FD2E6E" w:rsidRPr="00911E35" w14:paraId="2B79511C" w14:textId="77777777" w:rsidTr="00557612">
        <w:trPr>
          <w:trHeight w:val="315"/>
        </w:trPr>
        <w:tc>
          <w:tcPr>
            <w:tcW w:w="2426" w:type="pct"/>
            <w:tcBorders>
              <w:top w:val="nil"/>
              <w:left w:val="single" w:sz="8" w:space="0" w:color="95B3D7"/>
              <w:bottom w:val="single" w:sz="8" w:space="0" w:color="95B3D7"/>
              <w:right w:val="single" w:sz="8" w:space="0" w:color="95B3D7"/>
            </w:tcBorders>
            <w:shd w:val="clear" w:color="auto" w:fill="auto"/>
            <w:noWrap/>
            <w:vAlign w:val="center"/>
            <w:hideMark/>
          </w:tcPr>
          <w:p w14:paraId="753ACF4C" w14:textId="77777777" w:rsidR="00FD2E6E" w:rsidRPr="00911E35" w:rsidRDefault="00FD2E6E" w:rsidP="00557612">
            <w:pPr>
              <w:rPr>
                <w:b/>
                <w:bCs/>
                <w:lang w:val="en-US"/>
              </w:rPr>
            </w:pPr>
            <w:r w:rsidRPr="00911E35">
              <w:rPr>
                <w:b/>
                <w:bCs/>
                <w:lang w:val="en-US"/>
              </w:rPr>
              <w:t>Total Revenue and Grants</w:t>
            </w:r>
          </w:p>
        </w:tc>
        <w:tc>
          <w:tcPr>
            <w:tcW w:w="515" w:type="pct"/>
            <w:tcBorders>
              <w:top w:val="nil"/>
              <w:left w:val="nil"/>
              <w:bottom w:val="single" w:sz="8" w:space="0" w:color="95B3D7"/>
              <w:right w:val="single" w:sz="8" w:space="0" w:color="95B3D7"/>
            </w:tcBorders>
            <w:shd w:val="clear" w:color="auto" w:fill="auto"/>
            <w:noWrap/>
            <w:vAlign w:val="center"/>
            <w:hideMark/>
          </w:tcPr>
          <w:p w14:paraId="6C2F86A0" w14:textId="77777777" w:rsidR="00FD2E6E" w:rsidRPr="00911E35" w:rsidRDefault="00FD2E6E" w:rsidP="00557612">
            <w:pPr>
              <w:rPr>
                <w:lang w:val="en-US"/>
              </w:rPr>
            </w:pPr>
            <w:r w:rsidRPr="00911E35">
              <w:rPr>
                <w:lang w:val="en-US"/>
              </w:rPr>
              <w:t>1,103.1</w:t>
            </w:r>
          </w:p>
        </w:tc>
        <w:tc>
          <w:tcPr>
            <w:tcW w:w="515" w:type="pct"/>
            <w:tcBorders>
              <w:top w:val="nil"/>
              <w:left w:val="nil"/>
              <w:bottom w:val="single" w:sz="8" w:space="0" w:color="95B3D7"/>
              <w:right w:val="single" w:sz="8" w:space="0" w:color="95B3D7"/>
            </w:tcBorders>
            <w:shd w:val="clear" w:color="auto" w:fill="auto"/>
            <w:noWrap/>
            <w:vAlign w:val="center"/>
            <w:hideMark/>
          </w:tcPr>
          <w:p w14:paraId="764C973E" w14:textId="77777777" w:rsidR="00FD2E6E" w:rsidRPr="00911E35" w:rsidRDefault="00FD2E6E" w:rsidP="00557612">
            <w:pPr>
              <w:rPr>
                <w:lang w:val="en-US"/>
              </w:rPr>
            </w:pPr>
            <w:r w:rsidRPr="00911E35">
              <w:rPr>
                <w:lang w:val="en-US"/>
              </w:rPr>
              <w:t>1,206.1</w:t>
            </w:r>
          </w:p>
        </w:tc>
        <w:tc>
          <w:tcPr>
            <w:tcW w:w="515" w:type="pct"/>
            <w:tcBorders>
              <w:top w:val="nil"/>
              <w:left w:val="nil"/>
              <w:bottom w:val="single" w:sz="8" w:space="0" w:color="95B3D7"/>
              <w:right w:val="single" w:sz="8" w:space="0" w:color="95B3D7"/>
            </w:tcBorders>
            <w:shd w:val="clear" w:color="auto" w:fill="auto"/>
            <w:noWrap/>
            <w:vAlign w:val="center"/>
            <w:hideMark/>
          </w:tcPr>
          <w:p w14:paraId="73530DBF" w14:textId="77777777" w:rsidR="00FD2E6E" w:rsidRPr="00911E35" w:rsidRDefault="00FD2E6E" w:rsidP="00557612">
            <w:pPr>
              <w:rPr>
                <w:lang w:val="en-US"/>
              </w:rPr>
            </w:pPr>
            <w:r w:rsidRPr="00911E35">
              <w:rPr>
                <w:lang w:val="en-US"/>
              </w:rPr>
              <w:t>1,189.7</w:t>
            </w:r>
          </w:p>
        </w:tc>
        <w:tc>
          <w:tcPr>
            <w:tcW w:w="515" w:type="pct"/>
            <w:tcBorders>
              <w:top w:val="nil"/>
              <w:left w:val="nil"/>
              <w:bottom w:val="single" w:sz="8" w:space="0" w:color="95B3D7"/>
              <w:right w:val="single" w:sz="8" w:space="0" w:color="95B3D7"/>
            </w:tcBorders>
            <w:shd w:val="clear" w:color="auto" w:fill="auto"/>
            <w:noWrap/>
            <w:vAlign w:val="center"/>
            <w:hideMark/>
          </w:tcPr>
          <w:p w14:paraId="54434BB3" w14:textId="77777777" w:rsidR="00FD2E6E" w:rsidRPr="00911E35" w:rsidRDefault="00FD2E6E" w:rsidP="00557612">
            <w:pPr>
              <w:rPr>
                <w:lang w:val="en-US"/>
              </w:rPr>
            </w:pPr>
            <w:r w:rsidRPr="00911E35">
              <w:rPr>
                <w:lang w:val="en-US"/>
              </w:rPr>
              <w:t>966.6</w:t>
            </w:r>
          </w:p>
        </w:tc>
        <w:tc>
          <w:tcPr>
            <w:tcW w:w="515" w:type="pct"/>
            <w:tcBorders>
              <w:top w:val="nil"/>
              <w:left w:val="nil"/>
              <w:bottom w:val="single" w:sz="8" w:space="0" w:color="95B3D7"/>
              <w:right w:val="single" w:sz="8" w:space="0" w:color="95B3D7"/>
            </w:tcBorders>
            <w:shd w:val="clear" w:color="auto" w:fill="auto"/>
            <w:noWrap/>
            <w:vAlign w:val="center"/>
            <w:hideMark/>
          </w:tcPr>
          <w:p w14:paraId="34BC00D9" w14:textId="77777777" w:rsidR="00FD2E6E" w:rsidRPr="00911E35" w:rsidRDefault="00FD2E6E" w:rsidP="00557612">
            <w:pPr>
              <w:rPr>
                <w:lang w:val="en-US"/>
              </w:rPr>
            </w:pPr>
            <w:r w:rsidRPr="00911E35">
              <w:rPr>
                <w:lang w:val="en-US"/>
              </w:rPr>
              <w:t>1,068.1</w:t>
            </w:r>
          </w:p>
        </w:tc>
      </w:tr>
      <w:tr w:rsidR="00FD2E6E" w:rsidRPr="00911E35" w14:paraId="2F06C26F" w14:textId="77777777" w:rsidTr="00557612">
        <w:trPr>
          <w:trHeight w:val="315"/>
        </w:trPr>
        <w:tc>
          <w:tcPr>
            <w:tcW w:w="2426" w:type="pct"/>
            <w:tcBorders>
              <w:top w:val="nil"/>
              <w:left w:val="single" w:sz="8" w:space="0" w:color="95B3D7"/>
              <w:bottom w:val="single" w:sz="8" w:space="0" w:color="95B3D7"/>
              <w:right w:val="single" w:sz="8" w:space="0" w:color="95B3D7"/>
            </w:tcBorders>
            <w:shd w:val="clear" w:color="000000" w:fill="DBE5F1"/>
            <w:noWrap/>
            <w:vAlign w:val="center"/>
            <w:hideMark/>
          </w:tcPr>
          <w:p w14:paraId="68297590" w14:textId="77777777" w:rsidR="00FD2E6E" w:rsidRPr="00911E35" w:rsidRDefault="00FD2E6E" w:rsidP="00557612">
            <w:pPr>
              <w:rPr>
                <w:b/>
                <w:bCs/>
                <w:lang w:val="en-US"/>
              </w:rPr>
            </w:pPr>
            <w:r w:rsidRPr="00911E35">
              <w:rPr>
                <w:b/>
                <w:bCs/>
                <w:lang w:val="en-US"/>
              </w:rPr>
              <w:t>Current Revenue</w:t>
            </w:r>
          </w:p>
        </w:tc>
        <w:tc>
          <w:tcPr>
            <w:tcW w:w="515" w:type="pct"/>
            <w:tcBorders>
              <w:top w:val="nil"/>
              <w:left w:val="nil"/>
              <w:bottom w:val="single" w:sz="8" w:space="0" w:color="95B3D7"/>
              <w:right w:val="single" w:sz="8" w:space="0" w:color="95B3D7"/>
            </w:tcBorders>
            <w:shd w:val="clear" w:color="000000" w:fill="DBE5F1"/>
            <w:noWrap/>
            <w:vAlign w:val="center"/>
            <w:hideMark/>
          </w:tcPr>
          <w:p w14:paraId="198FFFB7" w14:textId="77777777" w:rsidR="00FD2E6E" w:rsidRPr="00911E35" w:rsidRDefault="00FD2E6E" w:rsidP="00557612">
            <w:pPr>
              <w:rPr>
                <w:lang w:val="en-US"/>
              </w:rPr>
            </w:pPr>
            <w:r w:rsidRPr="00911E35">
              <w:rPr>
                <w:lang w:val="en-US"/>
              </w:rPr>
              <w:t>1,047.3</w:t>
            </w:r>
          </w:p>
        </w:tc>
        <w:tc>
          <w:tcPr>
            <w:tcW w:w="515" w:type="pct"/>
            <w:tcBorders>
              <w:top w:val="nil"/>
              <w:left w:val="nil"/>
              <w:bottom w:val="single" w:sz="8" w:space="0" w:color="95B3D7"/>
              <w:right w:val="single" w:sz="8" w:space="0" w:color="95B3D7"/>
            </w:tcBorders>
            <w:shd w:val="clear" w:color="000000" w:fill="DBE5F1"/>
            <w:noWrap/>
            <w:vAlign w:val="center"/>
            <w:hideMark/>
          </w:tcPr>
          <w:p w14:paraId="4451C042" w14:textId="77777777" w:rsidR="00FD2E6E" w:rsidRPr="00911E35" w:rsidRDefault="00FD2E6E" w:rsidP="00557612">
            <w:pPr>
              <w:rPr>
                <w:lang w:val="en-US"/>
              </w:rPr>
            </w:pPr>
            <w:r w:rsidRPr="00911E35">
              <w:rPr>
                <w:lang w:val="en-US"/>
              </w:rPr>
              <w:t>1,154.5</w:t>
            </w:r>
          </w:p>
        </w:tc>
        <w:tc>
          <w:tcPr>
            <w:tcW w:w="515" w:type="pct"/>
            <w:tcBorders>
              <w:top w:val="nil"/>
              <w:left w:val="nil"/>
              <w:bottom w:val="single" w:sz="8" w:space="0" w:color="95B3D7"/>
              <w:right w:val="single" w:sz="8" w:space="0" w:color="95B3D7"/>
            </w:tcBorders>
            <w:shd w:val="clear" w:color="000000" w:fill="DBE5F1"/>
            <w:noWrap/>
            <w:vAlign w:val="center"/>
            <w:hideMark/>
          </w:tcPr>
          <w:p w14:paraId="0F498756" w14:textId="77777777" w:rsidR="00FD2E6E" w:rsidRPr="00911E35" w:rsidRDefault="00FD2E6E" w:rsidP="00557612">
            <w:pPr>
              <w:rPr>
                <w:lang w:val="en-US"/>
              </w:rPr>
            </w:pPr>
            <w:r w:rsidRPr="00911E35">
              <w:rPr>
                <w:lang w:val="en-US"/>
              </w:rPr>
              <w:t>1,150.5</w:t>
            </w:r>
          </w:p>
        </w:tc>
        <w:tc>
          <w:tcPr>
            <w:tcW w:w="515" w:type="pct"/>
            <w:tcBorders>
              <w:top w:val="nil"/>
              <w:left w:val="nil"/>
              <w:bottom w:val="single" w:sz="8" w:space="0" w:color="95B3D7"/>
              <w:right w:val="single" w:sz="8" w:space="0" w:color="95B3D7"/>
            </w:tcBorders>
            <w:shd w:val="clear" w:color="000000" w:fill="DBE5F1"/>
            <w:noWrap/>
            <w:vAlign w:val="center"/>
            <w:hideMark/>
          </w:tcPr>
          <w:p w14:paraId="12D99C2D" w14:textId="77777777" w:rsidR="00FD2E6E" w:rsidRPr="00911E35" w:rsidRDefault="00FD2E6E" w:rsidP="00557612">
            <w:pPr>
              <w:rPr>
                <w:lang w:val="en-US"/>
              </w:rPr>
            </w:pPr>
            <w:r w:rsidRPr="00911E35">
              <w:rPr>
                <w:lang w:val="en-US"/>
              </w:rPr>
              <w:t>927.0</w:t>
            </w:r>
          </w:p>
        </w:tc>
        <w:tc>
          <w:tcPr>
            <w:tcW w:w="515" w:type="pct"/>
            <w:tcBorders>
              <w:top w:val="nil"/>
              <w:left w:val="nil"/>
              <w:bottom w:val="single" w:sz="8" w:space="0" w:color="95B3D7"/>
              <w:right w:val="single" w:sz="8" w:space="0" w:color="95B3D7"/>
            </w:tcBorders>
            <w:shd w:val="clear" w:color="000000" w:fill="DBE5F1"/>
            <w:noWrap/>
            <w:vAlign w:val="center"/>
            <w:hideMark/>
          </w:tcPr>
          <w:p w14:paraId="41492B16" w14:textId="77777777" w:rsidR="00FD2E6E" w:rsidRPr="00911E35" w:rsidRDefault="00FD2E6E" w:rsidP="00557612">
            <w:pPr>
              <w:rPr>
                <w:lang w:val="en-US"/>
              </w:rPr>
            </w:pPr>
            <w:r w:rsidRPr="00911E35">
              <w:rPr>
                <w:lang w:val="en-US"/>
              </w:rPr>
              <w:t>988.9</w:t>
            </w:r>
          </w:p>
        </w:tc>
      </w:tr>
      <w:tr w:rsidR="00FD2E6E" w:rsidRPr="00911E35" w14:paraId="71C67056" w14:textId="77777777" w:rsidTr="00557612">
        <w:trPr>
          <w:trHeight w:val="315"/>
        </w:trPr>
        <w:tc>
          <w:tcPr>
            <w:tcW w:w="2426" w:type="pct"/>
            <w:tcBorders>
              <w:top w:val="nil"/>
              <w:left w:val="single" w:sz="8" w:space="0" w:color="95B3D7"/>
              <w:bottom w:val="single" w:sz="8" w:space="0" w:color="95B3D7"/>
              <w:right w:val="single" w:sz="8" w:space="0" w:color="95B3D7"/>
            </w:tcBorders>
            <w:shd w:val="clear" w:color="auto" w:fill="auto"/>
            <w:noWrap/>
            <w:vAlign w:val="center"/>
            <w:hideMark/>
          </w:tcPr>
          <w:p w14:paraId="315DF531" w14:textId="77777777" w:rsidR="00FD2E6E" w:rsidRPr="00911E35" w:rsidRDefault="00FD2E6E" w:rsidP="00557612">
            <w:pPr>
              <w:rPr>
                <w:b/>
                <w:bCs/>
                <w:lang w:val="en-US"/>
              </w:rPr>
            </w:pPr>
            <w:r w:rsidRPr="00911E35">
              <w:rPr>
                <w:b/>
                <w:bCs/>
                <w:lang w:val="en-US"/>
              </w:rPr>
              <w:t>Total Expenditure</w:t>
            </w:r>
          </w:p>
        </w:tc>
        <w:tc>
          <w:tcPr>
            <w:tcW w:w="515" w:type="pct"/>
            <w:tcBorders>
              <w:top w:val="nil"/>
              <w:left w:val="nil"/>
              <w:bottom w:val="single" w:sz="8" w:space="0" w:color="95B3D7"/>
              <w:right w:val="single" w:sz="8" w:space="0" w:color="95B3D7"/>
            </w:tcBorders>
            <w:shd w:val="clear" w:color="auto" w:fill="auto"/>
            <w:noWrap/>
            <w:vAlign w:val="center"/>
            <w:hideMark/>
          </w:tcPr>
          <w:p w14:paraId="7C941C9C" w14:textId="77777777" w:rsidR="00FD2E6E" w:rsidRPr="00911E35" w:rsidRDefault="00FD2E6E" w:rsidP="00557612">
            <w:pPr>
              <w:rPr>
                <w:lang w:val="en-US"/>
              </w:rPr>
            </w:pPr>
            <w:r w:rsidRPr="00911E35">
              <w:rPr>
                <w:lang w:val="en-US"/>
              </w:rPr>
              <w:t>1,195.6</w:t>
            </w:r>
          </w:p>
        </w:tc>
        <w:tc>
          <w:tcPr>
            <w:tcW w:w="515" w:type="pct"/>
            <w:tcBorders>
              <w:top w:val="nil"/>
              <w:left w:val="nil"/>
              <w:bottom w:val="single" w:sz="8" w:space="0" w:color="95B3D7"/>
              <w:right w:val="single" w:sz="8" w:space="0" w:color="95B3D7"/>
            </w:tcBorders>
            <w:shd w:val="clear" w:color="auto" w:fill="auto"/>
            <w:noWrap/>
            <w:vAlign w:val="center"/>
            <w:hideMark/>
          </w:tcPr>
          <w:p w14:paraId="591A7545" w14:textId="77777777" w:rsidR="00FD2E6E" w:rsidRPr="00911E35" w:rsidRDefault="00FD2E6E" w:rsidP="00557612">
            <w:pPr>
              <w:rPr>
                <w:lang w:val="en-US"/>
              </w:rPr>
            </w:pPr>
            <w:r w:rsidRPr="00911E35">
              <w:rPr>
                <w:lang w:val="en-US"/>
              </w:rPr>
              <w:t>1,295.8</w:t>
            </w:r>
          </w:p>
        </w:tc>
        <w:tc>
          <w:tcPr>
            <w:tcW w:w="515" w:type="pct"/>
            <w:tcBorders>
              <w:top w:val="nil"/>
              <w:left w:val="nil"/>
              <w:bottom w:val="single" w:sz="8" w:space="0" w:color="95B3D7"/>
              <w:right w:val="single" w:sz="8" w:space="0" w:color="95B3D7"/>
            </w:tcBorders>
            <w:shd w:val="clear" w:color="auto" w:fill="auto"/>
            <w:noWrap/>
            <w:vAlign w:val="center"/>
            <w:hideMark/>
          </w:tcPr>
          <w:p w14:paraId="6711C7C8" w14:textId="77777777" w:rsidR="00FD2E6E" w:rsidRPr="00911E35" w:rsidRDefault="00FD2E6E" w:rsidP="00557612">
            <w:pPr>
              <w:rPr>
                <w:lang w:val="en-US"/>
              </w:rPr>
            </w:pPr>
            <w:r w:rsidRPr="00911E35">
              <w:rPr>
                <w:lang w:val="en-US"/>
              </w:rPr>
              <w:t>1,382.9</w:t>
            </w:r>
          </w:p>
        </w:tc>
        <w:tc>
          <w:tcPr>
            <w:tcW w:w="515" w:type="pct"/>
            <w:tcBorders>
              <w:top w:val="nil"/>
              <w:left w:val="nil"/>
              <w:bottom w:val="single" w:sz="8" w:space="0" w:color="95B3D7"/>
              <w:right w:val="single" w:sz="8" w:space="0" w:color="95B3D7"/>
            </w:tcBorders>
            <w:shd w:val="clear" w:color="auto" w:fill="auto"/>
            <w:noWrap/>
            <w:vAlign w:val="center"/>
            <w:hideMark/>
          </w:tcPr>
          <w:p w14:paraId="302A3D31" w14:textId="77777777" w:rsidR="00FD2E6E" w:rsidRPr="00911E35" w:rsidRDefault="00FD2E6E" w:rsidP="00557612">
            <w:pPr>
              <w:rPr>
                <w:lang w:val="en-US"/>
              </w:rPr>
            </w:pPr>
            <w:r w:rsidRPr="00911E35">
              <w:rPr>
                <w:lang w:val="en-US"/>
              </w:rPr>
              <w:t>1,328.3</w:t>
            </w:r>
          </w:p>
        </w:tc>
        <w:tc>
          <w:tcPr>
            <w:tcW w:w="515" w:type="pct"/>
            <w:tcBorders>
              <w:top w:val="nil"/>
              <w:left w:val="nil"/>
              <w:bottom w:val="single" w:sz="8" w:space="0" w:color="95B3D7"/>
              <w:right w:val="single" w:sz="8" w:space="0" w:color="95B3D7"/>
            </w:tcBorders>
            <w:shd w:val="clear" w:color="auto" w:fill="auto"/>
            <w:noWrap/>
            <w:vAlign w:val="center"/>
            <w:hideMark/>
          </w:tcPr>
          <w:p w14:paraId="5F7A4C1A" w14:textId="77777777" w:rsidR="00FD2E6E" w:rsidRPr="00911E35" w:rsidRDefault="00FD2E6E" w:rsidP="00557612">
            <w:pPr>
              <w:rPr>
                <w:lang w:val="en-US"/>
              </w:rPr>
            </w:pPr>
            <w:r w:rsidRPr="00911E35">
              <w:rPr>
                <w:lang w:val="en-US"/>
              </w:rPr>
              <w:t>1,476.8</w:t>
            </w:r>
          </w:p>
        </w:tc>
      </w:tr>
      <w:tr w:rsidR="00FD2E6E" w:rsidRPr="00911E35" w14:paraId="677C43C4" w14:textId="77777777" w:rsidTr="00557612">
        <w:trPr>
          <w:trHeight w:val="315"/>
        </w:trPr>
        <w:tc>
          <w:tcPr>
            <w:tcW w:w="2426" w:type="pct"/>
            <w:tcBorders>
              <w:top w:val="nil"/>
              <w:left w:val="single" w:sz="8" w:space="0" w:color="95B3D7"/>
              <w:bottom w:val="single" w:sz="8" w:space="0" w:color="95B3D7"/>
              <w:right w:val="single" w:sz="8" w:space="0" w:color="95B3D7"/>
            </w:tcBorders>
            <w:shd w:val="clear" w:color="auto" w:fill="auto"/>
            <w:noWrap/>
            <w:vAlign w:val="center"/>
            <w:hideMark/>
          </w:tcPr>
          <w:p w14:paraId="64D08CD9" w14:textId="77777777" w:rsidR="00FD2E6E" w:rsidRPr="00911E35" w:rsidRDefault="00FD2E6E" w:rsidP="00557612">
            <w:pPr>
              <w:rPr>
                <w:b/>
                <w:bCs/>
                <w:lang w:val="en-US"/>
              </w:rPr>
            </w:pPr>
            <w:r w:rsidRPr="00911E35">
              <w:rPr>
                <w:b/>
                <w:bCs/>
                <w:lang w:val="en-US"/>
              </w:rPr>
              <w:t>Current Expenditure</w:t>
            </w:r>
          </w:p>
        </w:tc>
        <w:tc>
          <w:tcPr>
            <w:tcW w:w="515" w:type="pct"/>
            <w:tcBorders>
              <w:top w:val="nil"/>
              <w:left w:val="nil"/>
              <w:bottom w:val="single" w:sz="8" w:space="0" w:color="95B3D7"/>
              <w:right w:val="single" w:sz="8" w:space="0" w:color="95B3D7"/>
            </w:tcBorders>
            <w:shd w:val="clear" w:color="auto" w:fill="auto"/>
            <w:noWrap/>
            <w:vAlign w:val="center"/>
            <w:hideMark/>
          </w:tcPr>
          <w:p w14:paraId="2FB8598B" w14:textId="77777777" w:rsidR="00FD2E6E" w:rsidRPr="00911E35" w:rsidRDefault="00FD2E6E" w:rsidP="00557612">
            <w:pPr>
              <w:rPr>
                <w:lang w:val="en-US"/>
              </w:rPr>
            </w:pPr>
            <w:r w:rsidRPr="00911E35">
              <w:rPr>
                <w:lang w:val="en-US"/>
              </w:rPr>
              <w:t>955.1</w:t>
            </w:r>
          </w:p>
        </w:tc>
        <w:tc>
          <w:tcPr>
            <w:tcW w:w="515" w:type="pct"/>
            <w:tcBorders>
              <w:top w:val="nil"/>
              <w:left w:val="nil"/>
              <w:bottom w:val="single" w:sz="8" w:space="0" w:color="95B3D7"/>
              <w:right w:val="single" w:sz="8" w:space="0" w:color="95B3D7"/>
            </w:tcBorders>
            <w:shd w:val="clear" w:color="auto" w:fill="auto"/>
            <w:noWrap/>
            <w:vAlign w:val="center"/>
            <w:hideMark/>
          </w:tcPr>
          <w:p w14:paraId="4E4FF4E0" w14:textId="77777777" w:rsidR="00FD2E6E" w:rsidRPr="00911E35" w:rsidRDefault="00FD2E6E" w:rsidP="00557612">
            <w:pPr>
              <w:rPr>
                <w:lang w:val="en-US"/>
              </w:rPr>
            </w:pPr>
            <w:r w:rsidRPr="00911E35">
              <w:rPr>
                <w:lang w:val="en-US"/>
              </w:rPr>
              <w:t>1,059.1</w:t>
            </w:r>
          </w:p>
        </w:tc>
        <w:tc>
          <w:tcPr>
            <w:tcW w:w="515" w:type="pct"/>
            <w:tcBorders>
              <w:top w:val="nil"/>
              <w:left w:val="nil"/>
              <w:bottom w:val="single" w:sz="8" w:space="0" w:color="95B3D7"/>
              <w:right w:val="single" w:sz="8" w:space="0" w:color="95B3D7"/>
            </w:tcBorders>
            <w:shd w:val="clear" w:color="auto" w:fill="auto"/>
            <w:noWrap/>
            <w:vAlign w:val="center"/>
            <w:hideMark/>
          </w:tcPr>
          <w:p w14:paraId="6C7204DF" w14:textId="77777777" w:rsidR="00FD2E6E" w:rsidRPr="00911E35" w:rsidRDefault="00FD2E6E" w:rsidP="00557612">
            <w:pPr>
              <w:rPr>
                <w:lang w:val="en-US"/>
              </w:rPr>
            </w:pPr>
            <w:r w:rsidRPr="00911E35">
              <w:rPr>
                <w:lang w:val="en-US"/>
              </w:rPr>
              <w:t>1,142.7</w:t>
            </w:r>
          </w:p>
        </w:tc>
        <w:tc>
          <w:tcPr>
            <w:tcW w:w="515" w:type="pct"/>
            <w:tcBorders>
              <w:top w:val="nil"/>
              <w:left w:val="nil"/>
              <w:bottom w:val="single" w:sz="8" w:space="0" w:color="95B3D7"/>
              <w:right w:val="single" w:sz="8" w:space="0" w:color="95B3D7"/>
            </w:tcBorders>
            <w:shd w:val="clear" w:color="auto" w:fill="auto"/>
            <w:noWrap/>
            <w:vAlign w:val="center"/>
            <w:hideMark/>
          </w:tcPr>
          <w:p w14:paraId="6D31D47F" w14:textId="77777777" w:rsidR="00FD2E6E" w:rsidRPr="00911E35" w:rsidRDefault="00FD2E6E" w:rsidP="00557612">
            <w:pPr>
              <w:rPr>
                <w:lang w:val="en-US"/>
              </w:rPr>
            </w:pPr>
            <w:r w:rsidRPr="00911E35">
              <w:rPr>
                <w:lang w:val="en-US"/>
              </w:rPr>
              <w:t>1,138.6</w:t>
            </w:r>
          </w:p>
        </w:tc>
        <w:tc>
          <w:tcPr>
            <w:tcW w:w="515" w:type="pct"/>
            <w:tcBorders>
              <w:top w:val="nil"/>
              <w:left w:val="nil"/>
              <w:bottom w:val="single" w:sz="8" w:space="0" w:color="95B3D7"/>
              <w:right w:val="single" w:sz="8" w:space="0" w:color="95B3D7"/>
            </w:tcBorders>
            <w:shd w:val="clear" w:color="auto" w:fill="auto"/>
            <w:noWrap/>
            <w:vAlign w:val="center"/>
            <w:hideMark/>
          </w:tcPr>
          <w:p w14:paraId="2BB20526" w14:textId="77777777" w:rsidR="00FD2E6E" w:rsidRPr="00911E35" w:rsidRDefault="00FD2E6E" w:rsidP="00557612">
            <w:pPr>
              <w:rPr>
                <w:lang w:val="en-US"/>
              </w:rPr>
            </w:pPr>
            <w:r w:rsidRPr="00911E35">
              <w:rPr>
                <w:lang w:val="en-US"/>
              </w:rPr>
              <w:t>1,202.3</w:t>
            </w:r>
          </w:p>
        </w:tc>
      </w:tr>
      <w:tr w:rsidR="00FD2E6E" w:rsidRPr="00911E35" w14:paraId="1EEC2F4A" w14:textId="77777777" w:rsidTr="00557612">
        <w:trPr>
          <w:trHeight w:val="315"/>
        </w:trPr>
        <w:tc>
          <w:tcPr>
            <w:tcW w:w="2426" w:type="pct"/>
            <w:tcBorders>
              <w:top w:val="nil"/>
              <w:left w:val="single" w:sz="8" w:space="0" w:color="95B3D7"/>
              <w:bottom w:val="single" w:sz="8" w:space="0" w:color="95B3D7"/>
              <w:right w:val="single" w:sz="8" w:space="0" w:color="95B3D7"/>
            </w:tcBorders>
            <w:shd w:val="clear" w:color="auto" w:fill="auto"/>
            <w:noWrap/>
            <w:vAlign w:val="center"/>
            <w:hideMark/>
          </w:tcPr>
          <w:p w14:paraId="2540A28D" w14:textId="77777777" w:rsidR="00FD2E6E" w:rsidRPr="00911E35" w:rsidRDefault="00FD2E6E" w:rsidP="00557612">
            <w:pPr>
              <w:rPr>
                <w:b/>
                <w:bCs/>
                <w:lang w:val="en-US"/>
              </w:rPr>
            </w:pPr>
            <w:r w:rsidRPr="00911E35">
              <w:rPr>
                <w:b/>
                <w:bCs/>
                <w:lang w:val="en-US"/>
              </w:rPr>
              <w:t>Current Account Balance</w:t>
            </w:r>
          </w:p>
        </w:tc>
        <w:tc>
          <w:tcPr>
            <w:tcW w:w="515" w:type="pct"/>
            <w:tcBorders>
              <w:top w:val="nil"/>
              <w:left w:val="nil"/>
              <w:bottom w:val="single" w:sz="8" w:space="0" w:color="95B3D7"/>
              <w:right w:val="single" w:sz="8" w:space="0" w:color="95B3D7"/>
            </w:tcBorders>
            <w:shd w:val="clear" w:color="auto" w:fill="auto"/>
            <w:noWrap/>
            <w:vAlign w:val="center"/>
            <w:hideMark/>
          </w:tcPr>
          <w:p w14:paraId="3BA8C7BA" w14:textId="77777777" w:rsidR="00FD2E6E" w:rsidRPr="00911E35" w:rsidRDefault="00FD2E6E" w:rsidP="00557612">
            <w:pPr>
              <w:rPr>
                <w:lang w:val="en-US"/>
              </w:rPr>
            </w:pPr>
            <w:r w:rsidRPr="00911E35">
              <w:rPr>
                <w:lang w:val="en-US"/>
              </w:rPr>
              <w:t>92.2</w:t>
            </w:r>
          </w:p>
        </w:tc>
        <w:tc>
          <w:tcPr>
            <w:tcW w:w="515" w:type="pct"/>
            <w:tcBorders>
              <w:top w:val="nil"/>
              <w:left w:val="nil"/>
              <w:bottom w:val="single" w:sz="8" w:space="0" w:color="95B3D7"/>
              <w:right w:val="single" w:sz="8" w:space="0" w:color="95B3D7"/>
            </w:tcBorders>
            <w:shd w:val="clear" w:color="auto" w:fill="auto"/>
            <w:noWrap/>
            <w:vAlign w:val="center"/>
            <w:hideMark/>
          </w:tcPr>
          <w:p w14:paraId="5502EF81" w14:textId="77777777" w:rsidR="00FD2E6E" w:rsidRPr="00911E35" w:rsidRDefault="00FD2E6E" w:rsidP="00557612">
            <w:pPr>
              <w:rPr>
                <w:lang w:val="en-US"/>
              </w:rPr>
            </w:pPr>
            <w:r w:rsidRPr="00911E35">
              <w:rPr>
                <w:lang w:val="en-US"/>
              </w:rPr>
              <w:t>95.4</w:t>
            </w:r>
          </w:p>
        </w:tc>
        <w:tc>
          <w:tcPr>
            <w:tcW w:w="515" w:type="pct"/>
            <w:tcBorders>
              <w:top w:val="nil"/>
              <w:left w:val="nil"/>
              <w:bottom w:val="single" w:sz="8" w:space="0" w:color="95B3D7"/>
              <w:right w:val="single" w:sz="8" w:space="0" w:color="95B3D7"/>
            </w:tcBorders>
            <w:shd w:val="clear" w:color="auto" w:fill="auto"/>
            <w:noWrap/>
            <w:vAlign w:val="center"/>
            <w:hideMark/>
          </w:tcPr>
          <w:p w14:paraId="6CAB05E5" w14:textId="77777777" w:rsidR="00FD2E6E" w:rsidRPr="00911E35" w:rsidRDefault="00FD2E6E" w:rsidP="00557612">
            <w:pPr>
              <w:rPr>
                <w:lang w:val="en-US"/>
              </w:rPr>
            </w:pPr>
            <w:r w:rsidRPr="00911E35">
              <w:rPr>
                <w:lang w:val="en-US"/>
              </w:rPr>
              <w:t>7.8</w:t>
            </w:r>
          </w:p>
        </w:tc>
        <w:tc>
          <w:tcPr>
            <w:tcW w:w="515" w:type="pct"/>
            <w:tcBorders>
              <w:top w:val="nil"/>
              <w:left w:val="nil"/>
              <w:bottom w:val="single" w:sz="8" w:space="0" w:color="95B3D7"/>
              <w:right w:val="single" w:sz="8" w:space="0" w:color="95B3D7"/>
            </w:tcBorders>
            <w:shd w:val="clear" w:color="auto" w:fill="auto"/>
            <w:noWrap/>
            <w:vAlign w:val="center"/>
            <w:hideMark/>
          </w:tcPr>
          <w:p w14:paraId="780E20D1" w14:textId="77777777" w:rsidR="00FD2E6E" w:rsidRPr="00911E35" w:rsidRDefault="00FD2E6E" w:rsidP="00557612">
            <w:pPr>
              <w:rPr>
                <w:lang w:val="en-US"/>
              </w:rPr>
            </w:pPr>
            <w:r w:rsidRPr="00911E35">
              <w:rPr>
                <w:lang w:val="en-US"/>
              </w:rPr>
              <w:t>-211.6</w:t>
            </w:r>
          </w:p>
        </w:tc>
        <w:tc>
          <w:tcPr>
            <w:tcW w:w="515" w:type="pct"/>
            <w:tcBorders>
              <w:top w:val="nil"/>
              <w:left w:val="nil"/>
              <w:bottom w:val="single" w:sz="8" w:space="0" w:color="95B3D7"/>
              <w:right w:val="single" w:sz="8" w:space="0" w:color="95B3D7"/>
            </w:tcBorders>
            <w:shd w:val="clear" w:color="auto" w:fill="auto"/>
            <w:noWrap/>
            <w:vAlign w:val="center"/>
            <w:hideMark/>
          </w:tcPr>
          <w:p w14:paraId="510DF13A" w14:textId="77777777" w:rsidR="00FD2E6E" w:rsidRPr="00911E35" w:rsidRDefault="00FD2E6E" w:rsidP="00557612">
            <w:pPr>
              <w:rPr>
                <w:lang w:val="en-US"/>
              </w:rPr>
            </w:pPr>
            <w:r w:rsidRPr="00911E35">
              <w:rPr>
                <w:lang w:val="en-US"/>
              </w:rPr>
              <w:t>-213.4</w:t>
            </w:r>
          </w:p>
        </w:tc>
      </w:tr>
      <w:tr w:rsidR="00FD2E6E" w:rsidRPr="00911E35" w14:paraId="7F49CA86" w14:textId="77777777" w:rsidTr="00557612">
        <w:trPr>
          <w:trHeight w:val="315"/>
        </w:trPr>
        <w:tc>
          <w:tcPr>
            <w:tcW w:w="2426" w:type="pct"/>
            <w:tcBorders>
              <w:top w:val="nil"/>
              <w:left w:val="single" w:sz="8" w:space="0" w:color="95B3D7"/>
              <w:bottom w:val="single" w:sz="8" w:space="0" w:color="95B3D7"/>
              <w:right w:val="single" w:sz="8" w:space="0" w:color="95B3D7"/>
            </w:tcBorders>
            <w:shd w:val="clear" w:color="000000" w:fill="DBE5F1"/>
            <w:noWrap/>
            <w:vAlign w:val="center"/>
            <w:hideMark/>
          </w:tcPr>
          <w:p w14:paraId="65DEEEF7" w14:textId="77777777" w:rsidR="00FD2E6E" w:rsidRPr="00911E35" w:rsidRDefault="00FD2E6E" w:rsidP="00557612">
            <w:pPr>
              <w:rPr>
                <w:b/>
                <w:bCs/>
                <w:lang w:val="en-US"/>
              </w:rPr>
            </w:pPr>
            <w:r w:rsidRPr="00911E35">
              <w:rPr>
                <w:b/>
                <w:bCs/>
                <w:lang w:val="en-US"/>
              </w:rPr>
              <w:t>Primary Balance</w:t>
            </w:r>
          </w:p>
        </w:tc>
        <w:tc>
          <w:tcPr>
            <w:tcW w:w="515" w:type="pct"/>
            <w:tcBorders>
              <w:top w:val="nil"/>
              <w:left w:val="nil"/>
              <w:bottom w:val="single" w:sz="8" w:space="0" w:color="95B3D7"/>
              <w:right w:val="single" w:sz="8" w:space="0" w:color="95B3D7"/>
            </w:tcBorders>
            <w:shd w:val="clear" w:color="000000" w:fill="DBE5F1"/>
            <w:noWrap/>
            <w:vAlign w:val="center"/>
            <w:hideMark/>
          </w:tcPr>
          <w:p w14:paraId="348265B4" w14:textId="77777777" w:rsidR="00FD2E6E" w:rsidRPr="00911E35" w:rsidRDefault="00FD2E6E" w:rsidP="00557612">
            <w:pPr>
              <w:rPr>
                <w:lang w:val="en-US"/>
              </w:rPr>
            </w:pPr>
            <w:r w:rsidRPr="00911E35">
              <w:rPr>
                <w:lang w:val="en-US"/>
              </w:rPr>
              <w:t>62.3</w:t>
            </w:r>
          </w:p>
        </w:tc>
        <w:tc>
          <w:tcPr>
            <w:tcW w:w="515" w:type="pct"/>
            <w:tcBorders>
              <w:top w:val="nil"/>
              <w:left w:val="nil"/>
              <w:bottom w:val="single" w:sz="8" w:space="0" w:color="95B3D7"/>
              <w:right w:val="single" w:sz="8" w:space="0" w:color="95B3D7"/>
            </w:tcBorders>
            <w:shd w:val="clear" w:color="000000" w:fill="DBE5F1"/>
            <w:noWrap/>
            <w:vAlign w:val="center"/>
            <w:hideMark/>
          </w:tcPr>
          <w:p w14:paraId="09847A6B" w14:textId="77777777" w:rsidR="00FD2E6E" w:rsidRPr="00911E35" w:rsidRDefault="00FD2E6E" w:rsidP="00557612">
            <w:pPr>
              <w:rPr>
                <w:lang w:val="en-US"/>
              </w:rPr>
            </w:pPr>
            <w:r w:rsidRPr="00911E35">
              <w:rPr>
                <w:lang w:val="en-US"/>
              </w:rPr>
              <w:t>81.0</w:t>
            </w:r>
          </w:p>
        </w:tc>
        <w:tc>
          <w:tcPr>
            <w:tcW w:w="515" w:type="pct"/>
            <w:tcBorders>
              <w:top w:val="nil"/>
              <w:left w:val="nil"/>
              <w:bottom w:val="single" w:sz="8" w:space="0" w:color="95B3D7"/>
              <w:right w:val="single" w:sz="8" w:space="0" w:color="95B3D7"/>
            </w:tcBorders>
            <w:shd w:val="clear" w:color="000000" w:fill="DBE5F1"/>
            <w:noWrap/>
            <w:vAlign w:val="center"/>
            <w:hideMark/>
          </w:tcPr>
          <w:p w14:paraId="3A590E0C" w14:textId="77777777" w:rsidR="00FD2E6E" w:rsidRPr="00911E35" w:rsidRDefault="00FD2E6E" w:rsidP="00557612">
            <w:pPr>
              <w:rPr>
                <w:lang w:val="en-US"/>
              </w:rPr>
            </w:pPr>
            <w:r w:rsidRPr="00911E35">
              <w:rPr>
                <w:lang w:val="en-US"/>
              </w:rPr>
              <w:t>-23.9</w:t>
            </w:r>
          </w:p>
        </w:tc>
        <w:tc>
          <w:tcPr>
            <w:tcW w:w="515" w:type="pct"/>
            <w:tcBorders>
              <w:top w:val="nil"/>
              <w:left w:val="nil"/>
              <w:bottom w:val="single" w:sz="8" w:space="0" w:color="95B3D7"/>
              <w:right w:val="single" w:sz="8" w:space="0" w:color="95B3D7"/>
            </w:tcBorders>
            <w:shd w:val="clear" w:color="000000" w:fill="DBE5F1"/>
            <w:noWrap/>
            <w:vAlign w:val="center"/>
            <w:hideMark/>
          </w:tcPr>
          <w:p w14:paraId="057CBE86" w14:textId="77777777" w:rsidR="00FD2E6E" w:rsidRPr="00911E35" w:rsidRDefault="00FD2E6E" w:rsidP="00557612">
            <w:pPr>
              <w:rPr>
                <w:lang w:val="en-US"/>
              </w:rPr>
            </w:pPr>
            <w:r w:rsidRPr="00911E35">
              <w:rPr>
                <w:lang w:val="en-US"/>
              </w:rPr>
              <w:t>-198.5</w:t>
            </w:r>
          </w:p>
        </w:tc>
        <w:tc>
          <w:tcPr>
            <w:tcW w:w="515" w:type="pct"/>
            <w:tcBorders>
              <w:top w:val="nil"/>
              <w:left w:val="nil"/>
              <w:bottom w:val="single" w:sz="8" w:space="0" w:color="95B3D7"/>
              <w:right w:val="single" w:sz="8" w:space="0" w:color="95B3D7"/>
            </w:tcBorders>
            <w:shd w:val="clear" w:color="000000" w:fill="DBE5F1"/>
            <w:noWrap/>
            <w:vAlign w:val="center"/>
            <w:hideMark/>
          </w:tcPr>
          <w:p w14:paraId="1DA5DE31" w14:textId="77777777" w:rsidR="00FD2E6E" w:rsidRPr="00911E35" w:rsidRDefault="00FD2E6E" w:rsidP="00557612">
            <w:pPr>
              <w:rPr>
                <w:lang w:val="en-US"/>
              </w:rPr>
            </w:pPr>
            <w:r w:rsidRPr="00911E35">
              <w:rPr>
                <w:lang w:val="en-US"/>
              </w:rPr>
              <w:t>-237.6</w:t>
            </w:r>
          </w:p>
        </w:tc>
      </w:tr>
      <w:tr w:rsidR="00FD2E6E" w:rsidRPr="00911E35" w14:paraId="5808F23A" w14:textId="77777777" w:rsidTr="00557612">
        <w:trPr>
          <w:trHeight w:val="315"/>
        </w:trPr>
        <w:tc>
          <w:tcPr>
            <w:tcW w:w="2426" w:type="pct"/>
            <w:tcBorders>
              <w:top w:val="nil"/>
              <w:left w:val="single" w:sz="8" w:space="0" w:color="95B3D7"/>
              <w:bottom w:val="single" w:sz="8" w:space="0" w:color="95B3D7"/>
              <w:right w:val="single" w:sz="8" w:space="0" w:color="95B3D7"/>
            </w:tcBorders>
            <w:shd w:val="clear" w:color="auto" w:fill="auto"/>
            <w:noWrap/>
            <w:vAlign w:val="center"/>
            <w:hideMark/>
          </w:tcPr>
          <w:p w14:paraId="4CEB76E2" w14:textId="77777777" w:rsidR="00FD2E6E" w:rsidRPr="00911E35" w:rsidRDefault="00FD2E6E" w:rsidP="00557612">
            <w:pPr>
              <w:rPr>
                <w:b/>
                <w:bCs/>
                <w:lang w:val="en-US"/>
              </w:rPr>
            </w:pPr>
            <w:r w:rsidRPr="00911E35">
              <w:rPr>
                <w:b/>
                <w:bCs/>
                <w:lang w:val="en-US"/>
              </w:rPr>
              <w:t>Overall Balance</w:t>
            </w:r>
          </w:p>
        </w:tc>
        <w:tc>
          <w:tcPr>
            <w:tcW w:w="515" w:type="pct"/>
            <w:tcBorders>
              <w:top w:val="nil"/>
              <w:left w:val="nil"/>
              <w:bottom w:val="single" w:sz="8" w:space="0" w:color="95B3D7"/>
              <w:right w:val="single" w:sz="8" w:space="0" w:color="95B3D7"/>
            </w:tcBorders>
            <w:shd w:val="clear" w:color="auto" w:fill="auto"/>
            <w:noWrap/>
            <w:vAlign w:val="center"/>
            <w:hideMark/>
          </w:tcPr>
          <w:p w14:paraId="003C8DDA" w14:textId="77777777" w:rsidR="00FD2E6E" w:rsidRPr="00911E35" w:rsidRDefault="00FD2E6E" w:rsidP="00557612">
            <w:pPr>
              <w:rPr>
                <w:lang w:val="en-US"/>
              </w:rPr>
            </w:pPr>
            <w:r w:rsidRPr="00911E35">
              <w:rPr>
                <w:lang w:val="en-US"/>
              </w:rPr>
              <w:t>-92.5</w:t>
            </w:r>
          </w:p>
        </w:tc>
        <w:tc>
          <w:tcPr>
            <w:tcW w:w="515" w:type="pct"/>
            <w:tcBorders>
              <w:top w:val="nil"/>
              <w:left w:val="nil"/>
              <w:bottom w:val="single" w:sz="8" w:space="0" w:color="95B3D7"/>
              <w:right w:val="single" w:sz="8" w:space="0" w:color="95B3D7"/>
            </w:tcBorders>
            <w:shd w:val="clear" w:color="auto" w:fill="auto"/>
            <w:noWrap/>
            <w:vAlign w:val="center"/>
            <w:hideMark/>
          </w:tcPr>
          <w:p w14:paraId="2E1A9E31" w14:textId="77777777" w:rsidR="00FD2E6E" w:rsidRPr="00911E35" w:rsidRDefault="00FD2E6E" w:rsidP="00557612">
            <w:pPr>
              <w:rPr>
                <w:lang w:val="en-US"/>
              </w:rPr>
            </w:pPr>
            <w:r w:rsidRPr="00911E35">
              <w:rPr>
                <w:lang w:val="en-US"/>
              </w:rPr>
              <w:t>-89.7</w:t>
            </w:r>
          </w:p>
        </w:tc>
        <w:tc>
          <w:tcPr>
            <w:tcW w:w="515" w:type="pct"/>
            <w:tcBorders>
              <w:top w:val="nil"/>
              <w:left w:val="nil"/>
              <w:bottom w:val="single" w:sz="8" w:space="0" w:color="95B3D7"/>
              <w:right w:val="single" w:sz="8" w:space="0" w:color="95B3D7"/>
            </w:tcBorders>
            <w:shd w:val="clear" w:color="auto" w:fill="auto"/>
            <w:noWrap/>
            <w:vAlign w:val="center"/>
            <w:hideMark/>
          </w:tcPr>
          <w:p w14:paraId="4E3387E8" w14:textId="77777777" w:rsidR="00FD2E6E" w:rsidRPr="00911E35" w:rsidRDefault="00FD2E6E" w:rsidP="00557612">
            <w:pPr>
              <w:rPr>
                <w:lang w:val="en-US"/>
              </w:rPr>
            </w:pPr>
            <w:r w:rsidRPr="00911E35">
              <w:rPr>
                <w:lang w:val="en-US"/>
              </w:rPr>
              <w:t>-193.2</w:t>
            </w:r>
          </w:p>
        </w:tc>
        <w:tc>
          <w:tcPr>
            <w:tcW w:w="515" w:type="pct"/>
            <w:tcBorders>
              <w:top w:val="nil"/>
              <w:left w:val="nil"/>
              <w:bottom w:val="single" w:sz="8" w:space="0" w:color="95B3D7"/>
              <w:right w:val="single" w:sz="8" w:space="0" w:color="95B3D7"/>
            </w:tcBorders>
            <w:shd w:val="clear" w:color="auto" w:fill="auto"/>
            <w:noWrap/>
            <w:vAlign w:val="center"/>
            <w:hideMark/>
          </w:tcPr>
          <w:p w14:paraId="29F1A9CC" w14:textId="77777777" w:rsidR="00FD2E6E" w:rsidRPr="00911E35" w:rsidRDefault="00FD2E6E" w:rsidP="00557612">
            <w:pPr>
              <w:rPr>
                <w:lang w:val="en-US"/>
              </w:rPr>
            </w:pPr>
            <w:r w:rsidRPr="00911E35">
              <w:rPr>
                <w:lang w:val="en-US"/>
              </w:rPr>
              <w:t>-361.8</w:t>
            </w:r>
          </w:p>
        </w:tc>
        <w:tc>
          <w:tcPr>
            <w:tcW w:w="515" w:type="pct"/>
            <w:tcBorders>
              <w:top w:val="nil"/>
              <w:left w:val="nil"/>
              <w:bottom w:val="single" w:sz="8" w:space="0" w:color="95B3D7"/>
              <w:right w:val="single" w:sz="8" w:space="0" w:color="95B3D7"/>
            </w:tcBorders>
            <w:shd w:val="clear" w:color="auto" w:fill="auto"/>
            <w:noWrap/>
            <w:vAlign w:val="center"/>
            <w:hideMark/>
          </w:tcPr>
          <w:p w14:paraId="370BBAC5" w14:textId="77777777" w:rsidR="00FD2E6E" w:rsidRPr="00911E35" w:rsidRDefault="00FD2E6E" w:rsidP="00557612">
            <w:pPr>
              <w:rPr>
                <w:lang w:val="en-US"/>
              </w:rPr>
            </w:pPr>
            <w:r w:rsidRPr="00911E35">
              <w:rPr>
                <w:lang w:val="en-US"/>
              </w:rPr>
              <w:t>-408.7</w:t>
            </w:r>
          </w:p>
        </w:tc>
      </w:tr>
      <w:tr w:rsidR="00FD2E6E" w:rsidRPr="00911E35" w14:paraId="70B26C53" w14:textId="77777777" w:rsidTr="00557612">
        <w:trPr>
          <w:trHeight w:val="315"/>
        </w:trPr>
        <w:tc>
          <w:tcPr>
            <w:tcW w:w="5000" w:type="pct"/>
            <w:gridSpan w:val="6"/>
            <w:tcBorders>
              <w:top w:val="single" w:sz="8" w:space="0" w:color="95B3D7"/>
              <w:left w:val="single" w:sz="8" w:space="0" w:color="95B3D7"/>
              <w:bottom w:val="single" w:sz="8" w:space="0" w:color="95B3D7"/>
              <w:right w:val="single" w:sz="8" w:space="0" w:color="95B3D7"/>
            </w:tcBorders>
            <w:shd w:val="clear" w:color="000000" w:fill="DBE5F1"/>
            <w:noWrap/>
            <w:vAlign w:val="center"/>
            <w:hideMark/>
          </w:tcPr>
          <w:p w14:paraId="6A419307" w14:textId="77777777" w:rsidR="00FD2E6E" w:rsidRPr="00911E35" w:rsidRDefault="00FD2E6E" w:rsidP="00557612">
            <w:pPr>
              <w:rPr>
                <w:b/>
                <w:bCs/>
                <w:lang w:val="en-US"/>
              </w:rPr>
            </w:pPr>
            <w:r w:rsidRPr="00911E35">
              <w:rPr>
                <w:b/>
                <w:bCs/>
                <w:lang w:val="en-US"/>
              </w:rPr>
              <w:t>Memo items</w:t>
            </w:r>
          </w:p>
        </w:tc>
      </w:tr>
      <w:tr w:rsidR="00FD2E6E" w:rsidRPr="00911E35" w14:paraId="12CA2FE1" w14:textId="77777777" w:rsidTr="00557612">
        <w:trPr>
          <w:trHeight w:val="315"/>
        </w:trPr>
        <w:tc>
          <w:tcPr>
            <w:tcW w:w="2426" w:type="pct"/>
            <w:tcBorders>
              <w:top w:val="nil"/>
              <w:left w:val="single" w:sz="8" w:space="0" w:color="95B3D7"/>
              <w:bottom w:val="single" w:sz="8" w:space="0" w:color="95B3D7"/>
              <w:right w:val="single" w:sz="8" w:space="0" w:color="95B3D7"/>
            </w:tcBorders>
            <w:shd w:val="clear" w:color="auto" w:fill="auto"/>
            <w:noWrap/>
            <w:vAlign w:val="center"/>
            <w:hideMark/>
          </w:tcPr>
          <w:p w14:paraId="07F2A4DE" w14:textId="77777777" w:rsidR="00FD2E6E" w:rsidRPr="00911E35" w:rsidRDefault="00FD2E6E" w:rsidP="00557612">
            <w:pPr>
              <w:rPr>
                <w:b/>
                <w:bCs/>
                <w:lang w:val="en-US"/>
              </w:rPr>
            </w:pPr>
            <w:r w:rsidRPr="00911E35">
              <w:rPr>
                <w:b/>
                <w:bCs/>
                <w:lang w:val="en-US"/>
              </w:rPr>
              <w:t>Nominal GDP at Market Prices (EC$M)</w:t>
            </w:r>
          </w:p>
        </w:tc>
        <w:tc>
          <w:tcPr>
            <w:tcW w:w="515" w:type="pct"/>
            <w:tcBorders>
              <w:top w:val="nil"/>
              <w:left w:val="nil"/>
              <w:bottom w:val="single" w:sz="8" w:space="0" w:color="95B3D7"/>
              <w:right w:val="single" w:sz="8" w:space="0" w:color="95B3D7"/>
            </w:tcBorders>
            <w:shd w:val="clear" w:color="auto" w:fill="auto"/>
            <w:noWrap/>
            <w:vAlign w:val="center"/>
            <w:hideMark/>
          </w:tcPr>
          <w:p w14:paraId="02AB7DBE" w14:textId="77777777" w:rsidR="00FD2E6E" w:rsidRPr="00911E35" w:rsidRDefault="00FD2E6E" w:rsidP="00557612">
            <w:pPr>
              <w:rPr>
                <w:lang w:val="en-US"/>
              </w:rPr>
            </w:pPr>
            <w:r w:rsidRPr="00911E35">
              <w:rPr>
                <w:lang w:val="en-US"/>
              </w:rPr>
              <w:t>5,391.10</w:t>
            </w:r>
          </w:p>
        </w:tc>
        <w:tc>
          <w:tcPr>
            <w:tcW w:w="515" w:type="pct"/>
            <w:tcBorders>
              <w:top w:val="nil"/>
              <w:left w:val="nil"/>
              <w:bottom w:val="single" w:sz="8" w:space="0" w:color="95B3D7"/>
              <w:right w:val="single" w:sz="8" w:space="0" w:color="95B3D7"/>
            </w:tcBorders>
            <w:shd w:val="clear" w:color="auto" w:fill="auto"/>
            <w:noWrap/>
            <w:vAlign w:val="center"/>
            <w:hideMark/>
          </w:tcPr>
          <w:p w14:paraId="08039222" w14:textId="77777777" w:rsidR="00FD2E6E" w:rsidRPr="00911E35" w:rsidRDefault="00FD2E6E" w:rsidP="00557612">
            <w:pPr>
              <w:rPr>
                <w:lang w:val="en-US"/>
              </w:rPr>
            </w:pPr>
            <w:r w:rsidRPr="00911E35">
              <w:rPr>
                <w:lang w:val="en-US"/>
              </w:rPr>
              <w:t>5,554.10</w:t>
            </w:r>
          </w:p>
        </w:tc>
        <w:tc>
          <w:tcPr>
            <w:tcW w:w="515" w:type="pct"/>
            <w:tcBorders>
              <w:top w:val="nil"/>
              <w:left w:val="nil"/>
              <w:bottom w:val="single" w:sz="8" w:space="0" w:color="95B3D7"/>
              <w:right w:val="single" w:sz="8" w:space="0" w:color="95B3D7"/>
            </w:tcBorders>
            <w:shd w:val="clear" w:color="auto" w:fill="auto"/>
            <w:noWrap/>
            <w:vAlign w:val="center"/>
            <w:hideMark/>
          </w:tcPr>
          <w:p w14:paraId="0C09C6FF" w14:textId="77777777" w:rsidR="00FD2E6E" w:rsidRPr="00911E35" w:rsidRDefault="00FD2E6E" w:rsidP="00557612">
            <w:pPr>
              <w:rPr>
                <w:lang w:val="en-US"/>
              </w:rPr>
            </w:pPr>
            <w:r w:rsidRPr="00911E35">
              <w:rPr>
                <w:lang w:val="en-US"/>
              </w:rPr>
              <w:t>5,654.30</w:t>
            </w:r>
          </w:p>
        </w:tc>
        <w:tc>
          <w:tcPr>
            <w:tcW w:w="515" w:type="pct"/>
            <w:tcBorders>
              <w:top w:val="nil"/>
              <w:left w:val="nil"/>
              <w:bottom w:val="single" w:sz="8" w:space="0" w:color="95B3D7"/>
              <w:right w:val="single" w:sz="8" w:space="0" w:color="95B3D7"/>
            </w:tcBorders>
            <w:shd w:val="clear" w:color="auto" w:fill="auto"/>
            <w:noWrap/>
            <w:vAlign w:val="center"/>
            <w:hideMark/>
          </w:tcPr>
          <w:p w14:paraId="6E23E849" w14:textId="77777777" w:rsidR="00FD2E6E" w:rsidRPr="00911E35" w:rsidRDefault="00FD2E6E" w:rsidP="00557612">
            <w:pPr>
              <w:rPr>
                <w:lang w:val="en-US"/>
              </w:rPr>
            </w:pPr>
            <w:r w:rsidRPr="00911E35">
              <w:rPr>
                <w:lang w:val="en-US"/>
              </w:rPr>
              <w:t>4,093.20</w:t>
            </w:r>
          </w:p>
        </w:tc>
        <w:tc>
          <w:tcPr>
            <w:tcW w:w="515" w:type="pct"/>
            <w:tcBorders>
              <w:top w:val="nil"/>
              <w:left w:val="nil"/>
              <w:bottom w:val="single" w:sz="8" w:space="0" w:color="95B3D7"/>
              <w:right w:val="single" w:sz="8" w:space="0" w:color="95B3D7"/>
            </w:tcBorders>
            <w:shd w:val="clear" w:color="auto" w:fill="auto"/>
            <w:noWrap/>
            <w:vAlign w:val="center"/>
            <w:hideMark/>
          </w:tcPr>
          <w:p w14:paraId="72932A49" w14:textId="77777777" w:rsidR="00FD2E6E" w:rsidRPr="00911E35" w:rsidRDefault="00FD2E6E" w:rsidP="00557612">
            <w:pPr>
              <w:rPr>
                <w:lang w:val="en-US"/>
              </w:rPr>
            </w:pPr>
            <w:r w:rsidRPr="00911E35">
              <w:rPr>
                <w:lang w:val="en-US"/>
              </w:rPr>
              <w:t>4,566.40</w:t>
            </w:r>
          </w:p>
        </w:tc>
      </w:tr>
      <w:tr w:rsidR="00FD2E6E" w:rsidRPr="00911E35" w14:paraId="21BAD2F0" w14:textId="77777777" w:rsidTr="00557612">
        <w:trPr>
          <w:trHeight w:val="315"/>
        </w:trPr>
        <w:tc>
          <w:tcPr>
            <w:tcW w:w="2426" w:type="pct"/>
            <w:tcBorders>
              <w:top w:val="nil"/>
              <w:left w:val="single" w:sz="8" w:space="0" w:color="95B3D7"/>
              <w:bottom w:val="single" w:sz="8" w:space="0" w:color="95B3D7"/>
              <w:right w:val="single" w:sz="8" w:space="0" w:color="95B3D7"/>
            </w:tcBorders>
            <w:shd w:val="clear" w:color="000000" w:fill="DBE5F1"/>
            <w:noWrap/>
            <w:vAlign w:val="center"/>
            <w:hideMark/>
          </w:tcPr>
          <w:p w14:paraId="719B79DE" w14:textId="77777777" w:rsidR="00FD2E6E" w:rsidRPr="00911E35" w:rsidRDefault="00FD2E6E" w:rsidP="00557612">
            <w:pPr>
              <w:rPr>
                <w:b/>
                <w:bCs/>
                <w:lang w:val="en-US"/>
              </w:rPr>
            </w:pPr>
            <w:r w:rsidRPr="00911E35">
              <w:rPr>
                <w:b/>
                <w:bCs/>
                <w:lang w:val="en-US"/>
              </w:rPr>
              <w:t>Merchandise Exports (EC$M)</w:t>
            </w:r>
          </w:p>
        </w:tc>
        <w:tc>
          <w:tcPr>
            <w:tcW w:w="515" w:type="pct"/>
            <w:tcBorders>
              <w:top w:val="nil"/>
              <w:left w:val="nil"/>
              <w:bottom w:val="single" w:sz="8" w:space="0" w:color="95B3D7"/>
              <w:right w:val="single" w:sz="8" w:space="0" w:color="95B3D7"/>
            </w:tcBorders>
            <w:shd w:val="clear" w:color="000000" w:fill="DBE5F1"/>
            <w:noWrap/>
            <w:vAlign w:val="center"/>
            <w:hideMark/>
          </w:tcPr>
          <w:p w14:paraId="749F1D26" w14:textId="77777777" w:rsidR="00FD2E6E" w:rsidRPr="00911E35" w:rsidRDefault="00FD2E6E" w:rsidP="00557612">
            <w:pPr>
              <w:rPr>
                <w:lang w:val="en-US"/>
              </w:rPr>
            </w:pPr>
            <w:r w:rsidRPr="00911E35">
              <w:rPr>
                <w:lang w:val="en-US"/>
              </w:rPr>
              <w:t>206.7</w:t>
            </w:r>
          </w:p>
        </w:tc>
        <w:tc>
          <w:tcPr>
            <w:tcW w:w="515" w:type="pct"/>
            <w:tcBorders>
              <w:top w:val="nil"/>
              <w:left w:val="nil"/>
              <w:bottom w:val="single" w:sz="8" w:space="0" w:color="95B3D7"/>
              <w:right w:val="single" w:sz="8" w:space="0" w:color="95B3D7"/>
            </w:tcBorders>
            <w:shd w:val="clear" w:color="000000" w:fill="DBE5F1"/>
            <w:noWrap/>
            <w:vAlign w:val="center"/>
            <w:hideMark/>
          </w:tcPr>
          <w:p w14:paraId="172E4367" w14:textId="77777777" w:rsidR="00FD2E6E" w:rsidRPr="00911E35" w:rsidRDefault="00FD2E6E" w:rsidP="00557612">
            <w:pPr>
              <w:rPr>
                <w:lang w:val="en-US"/>
              </w:rPr>
            </w:pPr>
            <w:r w:rsidRPr="00911E35">
              <w:rPr>
                <w:lang w:val="en-US"/>
              </w:rPr>
              <w:t>253.8</w:t>
            </w:r>
          </w:p>
        </w:tc>
        <w:tc>
          <w:tcPr>
            <w:tcW w:w="515" w:type="pct"/>
            <w:tcBorders>
              <w:top w:val="nil"/>
              <w:left w:val="nil"/>
              <w:bottom w:val="single" w:sz="8" w:space="0" w:color="95B3D7"/>
              <w:right w:val="single" w:sz="8" w:space="0" w:color="95B3D7"/>
            </w:tcBorders>
            <w:shd w:val="clear" w:color="000000" w:fill="DBE5F1"/>
            <w:noWrap/>
            <w:vAlign w:val="center"/>
            <w:hideMark/>
          </w:tcPr>
          <w:p w14:paraId="64DC7EFD" w14:textId="77777777" w:rsidR="00FD2E6E" w:rsidRPr="00911E35" w:rsidRDefault="00FD2E6E" w:rsidP="00557612">
            <w:pPr>
              <w:rPr>
                <w:lang w:val="en-US"/>
              </w:rPr>
            </w:pPr>
            <w:r w:rsidRPr="00911E35">
              <w:rPr>
                <w:lang w:val="en-US"/>
              </w:rPr>
              <w:t>221.6</w:t>
            </w:r>
          </w:p>
        </w:tc>
        <w:tc>
          <w:tcPr>
            <w:tcW w:w="515" w:type="pct"/>
            <w:tcBorders>
              <w:top w:val="nil"/>
              <w:left w:val="nil"/>
              <w:bottom w:val="single" w:sz="8" w:space="0" w:color="95B3D7"/>
              <w:right w:val="single" w:sz="8" w:space="0" w:color="95B3D7"/>
            </w:tcBorders>
            <w:shd w:val="clear" w:color="000000" w:fill="DBE5F1"/>
            <w:noWrap/>
            <w:vAlign w:val="center"/>
            <w:hideMark/>
          </w:tcPr>
          <w:p w14:paraId="7A008F11" w14:textId="77777777" w:rsidR="00FD2E6E" w:rsidRPr="00911E35" w:rsidRDefault="00FD2E6E" w:rsidP="00557612">
            <w:pPr>
              <w:rPr>
                <w:lang w:val="en-US"/>
              </w:rPr>
            </w:pPr>
            <w:r w:rsidRPr="00911E35">
              <w:rPr>
                <w:lang w:val="en-US"/>
              </w:rPr>
              <w:t>149.1</w:t>
            </w:r>
          </w:p>
        </w:tc>
        <w:tc>
          <w:tcPr>
            <w:tcW w:w="515" w:type="pct"/>
            <w:tcBorders>
              <w:top w:val="nil"/>
              <w:left w:val="nil"/>
              <w:bottom w:val="single" w:sz="8" w:space="0" w:color="95B3D7"/>
              <w:right w:val="single" w:sz="8" w:space="0" w:color="95B3D7"/>
            </w:tcBorders>
            <w:shd w:val="clear" w:color="000000" w:fill="DBE5F1"/>
            <w:noWrap/>
            <w:vAlign w:val="center"/>
            <w:hideMark/>
          </w:tcPr>
          <w:p w14:paraId="027D733E" w14:textId="77777777" w:rsidR="00FD2E6E" w:rsidRPr="00911E35" w:rsidRDefault="00FD2E6E" w:rsidP="00557612">
            <w:pPr>
              <w:rPr>
                <w:lang w:val="en-US"/>
              </w:rPr>
            </w:pPr>
            <w:r w:rsidRPr="00911E35">
              <w:rPr>
                <w:lang w:val="en-US"/>
              </w:rPr>
              <w:t>156.4</w:t>
            </w:r>
          </w:p>
        </w:tc>
      </w:tr>
      <w:tr w:rsidR="00FD2E6E" w:rsidRPr="00911E35" w14:paraId="1D161641" w14:textId="77777777" w:rsidTr="00557612">
        <w:trPr>
          <w:trHeight w:val="315"/>
        </w:trPr>
        <w:tc>
          <w:tcPr>
            <w:tcW w:w="2426" w:type="pct"/>
            <w:tcBorders>
              <w:top w:val="nil"/>
              <w:left w:val="single" w:sz="8" w:space="0" w:color="95B3D7"/>
              <w:bottom w:val="single" w:sz="8" w:space="0" w:color="95B3D7"/>
              <w:right w:val="single" w:sz="8" w:space="0" w:color="95B3D7"/>
            </w:tcBorders>
            <w:shd w:val="clear" w:color="auto" w:fill="auto"/>
            <w:noWrap/>
            <w:vAlign w:val="center"/>
            <w:hideMark/>
          </w:tcPr>
          <w:p w14:paraId="173B0A9F" w14:textId="77777777" w:rsidR="00FD2E6E" w:rsidRPr="00911E35" w:rsidRDefault="00FD2E6E" w:rsidP="00557612">
            <w:pPr>
              <w:rPr>
                <w:b/>
                <w:bCs/>
                <w:lang w:val="en-US"/>
              </w:rPr>
            </w:pPr>
            <w:r w:rsidRPr="00911E35">
              <w:rPr>
                <w:b/>
                <w:bCs/>
                <w:lang w:val="en-US"/>
              </w:rPr>
              <w:t>Merchandise Imports (EC$M)</w:t>
            </w:r>
          </w:p>
        </w:tc>
        <w:tc>
          <w:tcPr>
            <w:tcW w:w="515" w:type="pct"/>
            <w:tcBorders>
              <w:top w:val="nil"/>
              <w:left w:val="nil"/>
              <w:bottom w:val="single" w:sz="8" w:space="0" w:color="95B3D7"/>
              <w:right w:val="single" w:sz="8" w:space="0" w:color="95B3D7"/>
            </w:tcBorders>
            <w:shd w:val="clear" w:color="auto" w:fill="auto"/>
            <w:noWrap/>
            <w:vAlign w:val="center"/>
            <w:hideMark/>
          </w:tcPr>
          <w:p w14:paraId="4F13408A" w14:textId="77777777" w:rsidR="00FD2E6E" w:rsidRPr="00911E35" w:rsidRDefault="00FD2E6E" w:rsidP="00557612">
            <w:pPr>
              <w:rPr>
                <w:lang w:val="en-US"/>
              </w:rPr>
            </w:pPr>
            <w:r w:rsidRPr="00911E35">
              <w:rPr>
                <w:lang w:val="en-US"/>
              </w:rPr>
              <w:t>1,684.30</w:t>
            </w:r>
          </w:p>
        </w:tc>
        <w:tc>
          <w:tcPr>
            <w:tcW w:w="515" w:type="pct"/>
            <w:tcBorders>
              <w:top w:val="nil"/>
              <w:left w:val="nil"/>
              <w:bottom w:val="single" w:sz="8" w:space="0" w:color="95B3D7"/>
              <w:right w:val="single" w:sz="8" w:space="0" w:color="95B3D7"/>
            </w:tcBorders>
            <w:shd w:val="clear" w:color="auto" w:fill="auto"/>
            <w:noWrap/>
            <w:vAlign w:val="center"/>
            <w:hideMark/>
          </w:tcPr>
          <w:p w14:paraId="309FD29D" w14:textId="77777777" w:rsidR="00FD2E6E" w:rsidRPr="00911E35" w:rsidRDefault="00FD2E6E" w:rsidP="00557612">
            <w:pPr>
              <w:rPr>
                <w:lang w:val="en-US"/>
              </w:rPr>
            </w:pPr>
            <w:r w:rsidRPr="00911E35">
              <w:rPr>
                <w:lang w:val="en-US"/>
              </w:rPr>
              <w:t>1,778.60</w:t>
            </w:r>
          </w:p>
        </w:tc>
        <w:tc>
          <w:tcPr>
            <w:tcW w:w="515" w:type="pct"/>
            <w:tcBorders>
              <w:top w:val="nil"/>
              <w:left w:val="nil"/>
              <w:bottom w:val="single" w:sz="8" w:space="0" w:color="95B3D7"/>
              <w:right w:val="single" w:sz="8" w:space="0" w:color="95B3D7"/>
            </w:tcBorders>
            <w:shd w:val="clear" w:color="auto" w:fill="auto"/>
            <w:noWrap/>
            <w:vAlign w:val="center"/>
            <w:hideMark/>
          </w:tcPr>
          <w:p w14:paraId="7E5F9AC3" w14:textId="77777777" w:rsidR="00FD2E6E" w:rsidRPr="00911E35" w:rsidRDefault="00FD2E6E" w:rsidP="00557612">
            <w:pPr>
              <w:rPr>
                <w:lang w:val="en-US"/>
              </w:rPr>
            </w:pPr>
            <w:r w:rsidRPr="00911E35">
              <w:rPr>
                <w:lang w:val="en-US"/>
              </w:rPr>
              <w:t>1,615.50</w:t>
            </w:r>
          </w:p>
        </w:tc>
        <w:tc>
          <w:tcPr>
            <w:tcW w:w="515" w:type="pct"/>
            <w:tcBorders>
              <w:top w:val="nil"/>
              <w:left w:val="nil"/>
              <w:bottom w:val="single" w:sz="8" w:space="0" w:color="95B3D7"/>
              <w:right w:val="single" w:sz="8" w:space="0" w:color="95B3D7"/>
            </w:tcBorders>
            <w:shd w:val="clear" w:color="auto" w:fill="auto"/>
            <w:noWrap/>
            <w:vAlign w:val="center"/>
            <w:hideMark/>
          </w:tcPr>
          <w:p w14:paraId="34C120DA" w14:textId="77777777" w:rsidR="00FD2E6E" w:rsidRPr="00911E35" w:rsidRDefault="00FD2E6E" w:rsidP="00557612">
            <w:pPr>
              <w:rPr>
                <w:lang w:val="en-US"/>
              </w:rPr>
            </w:pPr>
            <w:r w:rsidRPr="00911E35">
              <w:rPr>
                <w:lang w:val="en-US"/>
              </w:rPr>
              <w:t>1,362.20</w:t>
            </w:r>
          </w:p>
        </w:tc>
        <w:tc>
          <w:tcPr>
            <w:tcW w:w="515" w:type="pct"/>
            <w:tcBorders>
              <w:top w:val="nil"/>
              <w:left w:val="nil"/>
              <w:bottom w:val="single" w:sz="8" w:space="0" w:color="95B3D7"/>
              <w:right w:val="single" w:sz="8" w:space="0" w:color="95B3D7"/>
            </w:tcBorders>
            <w:shd w:val="clear" w:color="auto" w:fill="auto"/>
            <w:noWrap/>
            <w:vAlign w:val="center"/>
            <w:hideMark/>
          </w:tcPr>
          <w:p w14:paraId="70162854" w14:textId="77777777" w:rsidR="00FD2E6E" w:rsidRPr="00911E35" w:rsidRDefault="00FD2E6E" w:rsidP="00557612">
            <w:pPr>
              <w:rPr>
                <w:lang w:val="en-US"/>
              </w:rPr>
            </w:pPr>
            <w:r w:rsidRPr="00911E35">
              <w:rPr>
                <w:lang w:val="en-US"/>
              </w:rPr>
              <w:t>1,623.80</w:t>
            </w:r>
          </w:p>
        </w:tc>
      </w:tr>
    </w:tbl>
    <w:p w14:paraId="6A469721" w14:textId="77777777" w:rsidR="0010713C" w:rsidRDefault="0010713C" w:rsidP="0010713C"/>
    <w:p w14:paraId="3120B7EA" w14:textId="77777777" w:rsidR="00F23B1D" w:rsidRDefault="00F23B1D" w:rsidP="0010713C"/>
    <w:p w14:paraId="4F3C4733" w14:textId="77777777" w:rsidR="00F23B1D" w:rsidRDefault="00F23B1D" w:rsidP="0010713C"/>
    <w:p w14:paraId="56845C66" w14:textId="77777777" w:rsidR="00F23B1D" w:rsidRDefault="00F23B1D" w:rsidP="0010713C"/>
    <w:p w14:paraId="2ED98BF9" w14:textId="77777777" w:rsidR="00F23B1D" w:rsidRDefault="00F23B1D" w:rsidP="0010713C"/>
    <w:p w14:paraId="6ADB9DE8" w14:textId="77777777" w:rsidR="00F23B1D" w:rsidRPr="0010713C" w:rsidRDefault="00F23B1D" w:rsidP="0010713C"/>
    <w:p w14:paraId="0645ADF1" w14:textId="77777777" w:rsidR="0010713C" w:rsidRPr="005F50C5" w:rsidRDefault="00365B1B" w:rsidP="005F50C5">
      <w:r w:rsidRPr="005F50C5">
        <w:tab/>
      </w:r>
      <w:r w:rsidRPr="005F50C5">
        <w:tab/>
      </w:r>
      <w:r w:rsidRPr="005F50C5">
        <w:tab/>
      </w:r>
      <w:r w:rsidRPr="005F50C5">
        <w:tab/>
      </w:r>
      <w:r w:rsidRPr="005F50C5">
        <w:tab/>
      </w:r>
      <w:r w:rsidRPr="005F50C5">
        <w:tab/>
      </w:r>
      <w:r w:rsidRPr="005F50C5">
        <w:tab/>
      </w:r>
      <w:r w:rsidRPr="005F50C5">
        <w:tab/>
      </w:r>
      <w:r w:rsidRPr="005F50C5">
        <w:tab/>
      </w:r>
      <w:r w:rsidRPr="005F50C5">
        <w:tab/>
      </w:r>
      <w:r w:rsidRPr="005F50C5">
        <w:tab/>
      </w:r>
      <w:r w:rsidRPr="005F50C5">
        <w:tab/>
      </w:r>
    </w:p>
    <w:p w14:paraId="3A2EB651" w14:textId="77777777" w:rsidR="00191D34" w:rsidRPr="005F50C5" w:rsidRDefault="00365B1B" w:rsidP="005F50C5">
      <w:bookmarkStart w:id="150" w:name="_Toc102560590"/>
      <w:r w:rsidRPr="005F50C5">
        <w:t xml:space="preserve">Table </w:t>
      </w:r>
      <w:r w:rsidR="002E1637">
        <w:fldChar w:fldCharType="begin"/>
      </w:r>
      <w:r w:rsidR="002E1637">
        <w:instrText xml:space="preserve"> SEQ Table \* ARABIC </w:instrText>
      </w:r>
      <w:r w:rsidR="002E1637">
        <w:fldChar w:fldCharType="separate"/>
      </w:r>
      <w:r w:rsidR="00BC73C8">
        <w:rPr>
          <w:noProof/>
        </w:rPr>
        <w:t>4</w:t>
      </w:r>
      <w:r w:rsidR="002E1637">
        <w:rPr>
          <w:noProof/>
        </w:rPr>
        <w:fldChar w:fldCharType="end"/>
      </w:r>
      <w:r w:rsidRPr="005F50C5">
        <w:t>: Saint Lucia - RGSM Auction Results For 2021</w:t>
      </w:r>
      <w:bookmarkEnd w:id="150"/>
      <w:r w:rsidRPr="005F50C5">
        <w:t xml:space="preserve"> </w:t>
      </w:r>
    </w:p>
    <w:tbl>
      <w:tblPr>
        <w:tblStyle w:val="GridTable4-Accent1"/>
        <w:tblW w:w="5438" w:type="pct"/>
        <w:tblLook w:val="04A0" w:firstRow="1" w:lastRow="0" w:firstColumn="1" w:lastColumn="0" w:noHBand="0" w:noVBand="1"/>
      </w:tblPr>
      <w:tblGrid>
        <w:gridCol w:w="1348"/>
        <w:gridCol w:w="940"/>
        <w:gridCol w:w="1049"/>
        <w:gridCol w:w="1021"/>
        <w:gridCol w:w="1021"/>
        <w:gridCol w:w="1021"/>
        <w:gridCol w:w="1115"/>
        <w:gridCol w:w="691"/>
        <w:gridCol w:w="644"/>
        <w:gridCol w:w="675"/>
        <w:gridCol w:w="644"/>
      </w:tblGrid>
      <w:tr w:rsidR="00D11502" w14:paraId="1BBBAE50" w14:textId="77777777" w:rsidTr="00F23B1D">
        <w:trPr>
          <w:cnfStyle w:val="100000000000" w:firstRow="1" w:lastRow="0" w:firstColumn="0" w:lastColumn="0" w:oddVBand="0" w:evenVBand="0" w:oddHBand="0"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663" w:type="pct"/>
            <w:vMerge w:val="restart"/>
            <w:hideMark/>
          </w:tcPr>
          <w:p w14:paraId="2D150B02"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Auction Date</w:t>
            </w:r>
          </w:p>
        </w:tc>
        <w:tc>
          <w:tcPr>
            <w:tcW w:w="462" w:type="pct"/>
            <w:vMerge w:val="restart"/>
            <w:hideMark/>
          </w:tcPr>
          <w:p w14:paraId="1B540D71" w14:textId="77777777" w:rsidR="00996869" w:rsidRPr="00996869" w:rsidRDefault="00365B1B" w:rsidP="00BE266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Issue</w:t>
            </w:r>
          </w:p>
        </w:tc>
        <w:tc>
          <w:tcPr>
            <w:tcW w:w="516" w:type="pct"/>
            <w:vMerge w:val="restart"/>
            <w:hideMark/>
          </w:tcPr>
          <w:p w14:paraId="029466FF" w14:textId="77777777" w:rsidR="00996869" w:rsidRPr="00996869" w:rsidRDefault="00365B1B" w:rsidP="00BE266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Tenor</w:t>
            </w:r>
          </w:p>
        </w:tc>
        <w:tc>
          <w:tcPr>
            <w:tcW w:w="502" w:type="pct"/>
            <w:vMerge w:val="restart"/>
            <w:hideMark/>
          </w:tcPr>
          <w:p w14:paraId="123FE7EE" w14:textId="77777777" w:rsidR="00996869" w:rsidRPr="00996869" w:rsidRDefault="00365B1B" w:rsidP="00BE266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4"/>
                <w:szCs w:val="16"/>
                <w:lang w:eastAsia="en-029"/>
              </w:rPr>
            </w:pPr>
            <w:r>
              <w:rPr>
                <w:rFonts w:eastAsia="Times New Roman" w:cs="Times New Roman"/>
                <w:color w:val="000000"/>
                <w:sz w:val="14"/>
                <w:szCs w:val="16"/>
                <w:lang w:eastAsia="en-029"/>
              </w:rPr>
              <w:t>Issue Amount (EC$M</w:t>
            </w:r>
            <w:r w:rsidRPr="00996869">
              <w:rPr>
                <w:rFonts w:eastAsia="Times New Roman" w:cs="Times New Roman"/>
                <w:color w:val="000000"/>
                <w:sz w:val="14"/>
                <w:szCs w:val="16"/>
                <w:lang w:eastAsia="en-029"/>
              </w:rPr>
              <w:t>)</w:t>
            </w:r>
          </w:p>
        </w:tc>
        <w:tc>
          <w:tcPr>
            <w:tcW w:w="502" w:type="pct"/>
            <w:vMerge w:val="restart"/>
            <w:hideMark/>
          </w:tcPr>
          <w:p w14:paraId="38B15E25" w14:textId="77777777" w:rsidR="00996869" w:rsidRPr="00996869" w:rsidRDefault="00365B1B" w:rsidP="00BE266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4"/>
                <w:szCs w:val="16"/>
                <w:lang w:eastAsia="en-029"/>
              </w:rPr>
            </w:pPr>
            <w:r>
              <w:rPr>
                <w:rFonts w:eastAsia="Times New Roman" w:cs="Times New Roman"/>
                <w:color w:val="000000"/>
                <w:sz w:val="14"/>
                <w:szCs w:val="16"/>
                <w:lang w:eastAsia="en-029"/>
              </w:rPr>
              <w:t>Value of Bids (EC$M</w:t>
            </w:r>
            <w:r w:rsidRPr="00996869">
              <w:rPr>
                <w:rFonts w:eastAsia="Times New Roman" w:cs="Times New Roman"/>
                <w:color w:val="000000"/>
                <w:sz w:val="14"/>
                <w:szCs w:val="16"/>
                <w:lang w:eastAsia="en-029"/>
              </w:rPr>
              <w:t>)</w:t>
            </w:r>
          </w:p>
        </w:tc>
        <w:tc>
          <w:tcPr>
            <w:tcW w:w="502" w:type="pct"/>
            <w:vMerge w:val="restart"/>
            <w:hideMark/>
          </w:tcPr>
          <w:p w14:paraId="07758344" w14:textId="77777777" w:rsidR="00996869" w:rsidRPr="00996869" w:rsidRDefault="00365B1B" w:rsidP="00BE266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4"/>
                <w:szCs w:val="16"/>
                <w:lang w:eastAsia="en-029"/>
              </w:rPr>
            </w:pPr>
            <w:r>
              <w:rPr>
                <w:rFonts w:eastAsia="Times New Roman" w:cs="Times New Roman"/>
                <w:color w:val="000000"/>
                <w:sz w:val="14"/>
                <w:szCs w:val="16"/>
                <w:lang w:eastAsia="en-029"/>
              </w:rPr>
              <w:t>Amount Accepted (EC$M</w:t>
            </w:r>
            <w:r w:rsidRPr="00996869">
              <w:rPr>
                <w:rFonts w:eastAsia="Times New Roman" w:cs="Times New Roman"/>
                <w:color w:val="000000"/>
                <w:sz w:val="14"/>
                <w:szCs w:val="16"/>
                <w:lang w:eastAsia="en-029"/>
              </w:rPr>
              <w:t>)</w:t>
            </w:r>
          </w:p>
        </w:tc>
        <w:tc>
          <w:tcPr>
            <w:tcW w:w="548" w:type="pct"/>
            <w:vMerge w:val="restart"/>
            <w:hideMark/>
          </w:tcPr>
          <w:p w14:paraId="423988AB" w14:textId="77777777" w:rsidR="00996869" w:rsidRPr="00996869" w:rsidRDefault="00365B1B" w:rsidP="00BE266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Over/Under Subscription)</w:t>
            </w:r>
          </w:p>
        </w:tc>
        <w:tc>
          <w:tcPr>
            <w:tcW w:w="1305" w:type="pct"/>
            <w:gridSpan w:val="4"/>
            <w:hideMark/>
          </w:tcPr>
          <w:p w14:paraId="343CCE1B" w14:textId="77777777" w:rsidR="00996869" w:rsidRPr="00996869" w:rsidRDefault="00365B1B" w:rsidP="00BE266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Interest Rate (%)</w:t>
            </w:r>
          </w:p>
        </w:tc>
      </w:tr>
      <w:tr w:rsidR="00D11502" w14:paraId="13AF0639" w14:textId="77777777" w:rsidTr="00F23B1D">
        <w:trPr>
          <w:cnfStyle w:val="000000100000" w:firstRow="0" w:lastRow="0" w:firstColumn="0" w:lastColumn="0" w:oddVBand="0" w:evenVBand="0" w:oddHBand="1" w:evenHBand="0" w:firstRowFirstColumn="0" w:firstRowLastColumn="0" w:lastRowFirstColumn="0" w:lastRowLastColumn="0"/>
          <w:trHeight w:val="843"/>
        </w:trPr>
        <w:tc>
          <w:tcPr>
            <w:cnfStyle w:val="001000000000" w:firstRow="0" w:lastRow="0" w:firstColumn="1" w:lastColumn="0" w:oddVBand="0" w:evenVBand="0" w:oddHBand="0" w:evenHBand="0" w:firstRowFirstColumn="0" w:firstRowLastColumn="0" w:lastRowFirstColumn="0" w:lastRowLastColumn="0"/>
            <w:tcW w:w="663" w:type="pct"/>
            <w:vMerge/>
            <w:hideMark/>
          </w:tcPr>
          <w:p w14:paraId="0A1AF800" w14:textId="77777777" w:rsidR="00996869" w:rsidRPr="00996869" w:rsidRDefault="00996869" w:rsidP="00BE2667">
            <w:pPr>
              <w:jc w:val="center"/>
              <w:rPr>
                <w:rFonts w:eastAsia="Times New Roman" w:cs="Times New Roman"/>
                <w:color w:val="000000"/>
                <w:sz w:val="14"/>
                <w:szCs w:val="16"/>
                <w:lang w:eastAsia="en-029"/>
              </w:rPr>
            </w:pPr>
          </w:p>
        </w:tc>
        <w:tc>
          <w:tcPr>
            <w:tcW w:w="462" w:type="pct"/>
            <w:vMerge/>
            <w:hideMark/>
          </w:tcPr>
          <w:p w14:paraId="47A8CFAC" w14:textId="77777777" w:rsidR="00996869" w:rsidRPr="00996869" w:rsidRDefault="00996869"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p>
        </w:tc>
        <w:tc>
          <w:tcPr>
            <w:tcW w:w="516" w:type="pct"/>
            <w:vMerge/>
            <w:hideMark/>
          </w:tcPr>
          <w:p w14:paraId="3233D1C0" w14:textId="77777777" w:rsidR="00996869" w:rsidRPr="00996869" w:rsidRDefault="00996869"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p>
        </w:tc>
        <w:tc>
          <w:tcPr>
            <w:tcW w:w="502" w:type="pct"/>
            <w:vMerge/>
            <w:hideMark/>
          </w:tcPr>
          <w:p w14:paraId="09028B8B" w14:textId="77777777" w:rsidR="00996869" w:rsidRPr="00996869" w:rsidRDefault="00996869"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p>
        </w:tc>
        <w:tc>
          <w:tcPr>
            <w:tcW w:w="502" w:type="pct"/>
            <w:vMerge/>
            <w:hideMark/>
          </w:tcPr>
          <w:p w14:paraId="41B01057" w14:textId="77777777" w:rsidR="00996869" w:rsidRPr="00996869" w:rsidRDefault="00996869"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p>
        </w:tc>
        <w:tc>
          <w:tcPr>
            <w:tcW w:w="502" w:type="pct"/>
            <w:vMerge/>
            <w:hideMark/>
          </w:tcPr>
          <w:p w14:paraId="1A6F9FF7" w14:textId="77777777" w:rsidR="00996869" w:rsidRPr="00996869" w:rsidRDefault="00996869"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p>
        </w:tc>
        <w:tc>
          <w:tcPr>
            <w:tcW w:w="548" w:type="pct"/>
            <w:vMerge/>
            <w:hideMark/>
          </w:tcPr>
          <w:p w14:paraId="47588FB6" w14:textId="77777777" w:rsidR="00996869" w:rsidRPr="00996869" w:rsidRDefault="00996869"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p>
        </w:tc>
        <w:tc>
          <w:tcPr>
            <w:tcW w:w="340" w:type="pct"/>
            <w:hideMark/>
          </w:tcPr>
          <w:p w14:paraId="2B8E0FD0"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Coupon Rate</w:t>
            </w:r>
          </w:p>
        </w:tc>
        <w:tc>
          <w:tcPr>
            <w:tcW w:w="317" w:type="pct"/>
            <w:hideMark/>
          </w:tcPr>
          <w:p w14:paraId="0401581D"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Lowest Bid</w:t>
            </w:r>
          </w:p>
        </w:tc>
        <w:tc>
          <w:tcPr>
            <w:tcW w:w="332" w:type="pct"/>
            <w:hideMark/>
          </w:tcPr>
          <w:p w14:paraId="429DF0D4"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Highest Bid</w:t>
            </w:r>
          </w:p>
        </w:tc>
        <w:tc>
          <w:tcPr>
            <w:tcW w:w="317" w:type="pct"/>
            <w:hideMark/>
          </w:tcPr>
          <w:p w14:paraId="402CD9DF"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Ceiling</w:t>
            </w:r>
          </w:p>
        </w:tc>
      </w:tr>
      <w:tr w:rsidR="00D11502" w14:paraId="7C97B779" w14:textId="77777777" w:rsidTr="00F23B1D">
        <w:trPr>
          <w:trHeight w:val="281"/>
        </w:trPr>
        <w:tc>
          <w:tcPr>
            <w:cnfStyle w:val="001000000000" w:firstRow="0" w:lastRow="0" w:firstColumn="1" w:lastColumn="0" w:oddVBand="0" w:evenVBand="0" w:oddHBand="0" w:evenHBand="0" w:firstRowFirstColumn="0" w:firstRowLastColumn="0" w:lastRowFirstColumn="0" w:lastRowLastColumn="0"/>
            <w:tcW w:w="663" w:type="pct"/>
            <w:noWrap/>
            <w:hideMark/>
          </w:tcPr>
          <w:p w14:paraId="3C8E73C0"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January 13, 2021</w:t>
            </w:r>
          </w:p>
        </w:tc>
        <w:tc>
          <w:tcPr>
            <w:tcW w:w="462" w:type="pct"/>
            <w:noWrap/>
            <w:hideMark/>
          </w:tcPr>
          <w:p w14:paraId="3FFB6BAF"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LCB150421</w:t>
            </w:r>
          </w:p>
        </w:tc>
        <w:tc>
          <w:tcPr>
            <w:tcW w:w="516" w:type="pct"/>
            <w:noWrap/>
            <w:hideMark/>
          </w:tcPr>
          <w:p w14:paraId="2B5EF7BC"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91 day T</w:t>
            </w:r>
            <w:r>
              <w:rPr>
                <w:rFonts w:eastAsia="Times New Roman" w:cs="Times New Roman"/>
                <w:b/>
                <w:bCs/>
                <w:color w:val="000000"/>
                <w:sz w:val="14"/>
                <w:szCs w:val="16"/>
                <w:lang w:eastAsia="en-029"/>
              </w:rPr>
              <w:t>-</w:t>
            </w:r>
            <w:r w:rsidRPr="00996869">
              <w:rPr>
                <w:rFonts w:eastAsia="Times New Roman" w:cs="Times New Roman"/>
                <w:b/>
                <w:bCs/>
                <w:color w:val="000000"/>
                <w:sz w:val="14"/>
                <w:szCs w:val="16"/>
                <w:lang w:eastAsia="en-029"/>
              </w:rPr>
              <w:t>bill</w:t>
            </w:r>
          </w:p>
        </w:tc>
        <w:tc>
          <w:tcPr>
            <w:tcW w:w="502" w:type="pct"/>
            <w:hideMark/>
          </w:tcPr>
          <w:p w14:paraId="7552B4FF"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16,000,000.00</w:t>
            </w:r>
          </w:p>
        </w:tc>
        <w:tc>
          <w:tcPr>
            <w:tcW w:w="502" w:type="pct"/>
            <w:hideMark/>
          </w:tcPr>
          <w:p w14:paraId="00F68257"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17,945,000.00</w:t>
            </w:r>
          </w:p>
        </w:tc>
        <w:tc>
          <w:tcPr>
            <w:tcW w:w="502" w:type="pct"/>
            <w:hideMark/>
          </w:tcPr>
          <w:p w14:paraId="0BF30612"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16,000,000.00</w:t>
            </w:r>
          </w:p>
        </w:tc>
        <w:tc>
          <w:tcPr>
            <w:tcW w:w="548" w:type="pct"/>
            <w:noWrap/>
            <w:hideMark/>
          </w:tcPr>
          <w:p w14:paraId="053C9871"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1,945,000.00</w:t>
            </w:r>
          </w:p>
        </w:tc>
        <w:tc>
          <w:tcPr>
            <w:tcW w:w="340" w:type="pct"/>
            <w:noWrap/>
            <w:hideMark/>
          </w:tcPr>
          <w:p w14:paraId="00B0D300"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3.50</w:t>
            </w:r>
          </w:p>
        </w:tc>
        <w:tc>
          <w:tcPr>
            <w:tcW w:w="317" w:type="pct"/>
            <w:noWrap/>
            <w:hideMark/>
          </w:tcPr>
          <w:p w14:paraId="1A9B5BB7"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1.00</w:t>
            </w:r>
          </w:p>
        </w:tc>
        <w:tc>
          <w:tcPr>
            <w:tcW w:w="332" w:type="pct"/>
            <w:noWrap/>
            <w:hideMark/>
          </w:tcPr>
          <w:p w14:paraId="551A39DC"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3.50</w:t>
            </w:r>
          </w:p>
        </w:tc>
        <w:tc>
          <w:tcPr>
            <w:tcW w:w="317" w:type="pct"/>
            <w:noWrap/>
            <w:hideMark/>
          </w:tcPr>
          <w:p w14:paraId="6A2A875C"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3.50</w:t>
            </w:r>
          </w:p>
        </w:tc>
      </w:tr>
      <w:tr w:rsidR="00D11502" w14:paraId="45FBD539" w14:textId="77777777" w:rsidTr="00F23B1D">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663" w:type="pct"/>
            <w:noWrap/>
            <w:hideMark/>
          </w:tcPr>
          <w:p w14:paraId="6366A21A"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January 20, 2021</w:t>
            </w:r>
          </w:p>
        </w:tc>
        <w:tc>
          <w:tcPr>
            <w:tcW w:w="462" w:type="pct"/>
            <w:noWrap/>
            <w:hideMark/>
          </w:tcPr>
          <w:p w14:paraId="7365B71A"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LCB200721</w:t>
            </w:r>
          </w:p>
        </w:tc>
        <w:tc>
          <w:tcPr>
            <w:tcW w:w="516" w:type="pct"/>
            <w:noWrap/>
            <w:hideMark/>
          </w:tcPr>
          <w:p w14:paraId="202E63B9"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180 day T</w:t>
            </w:r>
            <w:r>
              <w:rPr>
                <w:rFonts w:eastAsia="Times New Roman" w:cs="Times New Roman"/>
                <w:b/>
                <w:bCs/>
                <w:color w:val="000000"/>
                <w:sz w:val="14"/>
                <w:szCs w:val="16"/>
                <w:lang w:eastAsia="en-029"/>
              </w:rPr>
              <w:t>-</w:t>
            </w:r>
            <w:r w:rsidRPr="00996869">
              <w:rPr>
                <w:rFonts w:eastAsia="Times New Roman" w:cs="Times New Roman"/>
                <w:b/>
                <w:bCs/>
                <w:color w:val="000000"/>
                <w:sz w:val="14"/>
                <w:szCs w:val="16"/>
                <w:lang w:eastAsia="en-029"/>
              </w:rPr>
              <w:t>bill</w:t>
            </w:r>
          </w:p>
        </w:tc>
        <w:tc>
          <w:tcPr>
            <w:tcW w:w="502" w:type="pct"/>
            <w:hideMark/>
          </w:tcPr>
          <w:p w14:paraId="2EB46CAD"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25,000,000.00</w:t>
            </w:r>
          </w:p>
        </w:tc>
        <w:tc>
          <w:tcPr>
            <w:tcW w:w="502" w:type="pct"/>
            <w:hideMark/>
          </w:tcPr>
          <w:p w14:paraId="5AB9F2BA"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13,807,000.00</w:t>
            </w:r>
          </w:p>
        </w:tc>
        <w:tc>
          <w:tcPr>
            <w:tcW w:w="502" w:type="pct"/>
            <w:hideMark/>
          </w:tcPr>
          <w:p w14:paraId="2AA1A728"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13,807,000.00</w:t>
            </w:r>
          </w:p>
        </w:tc>
        <w:tc>
          <w:tcPr>
            <w:tcW w:w="548" w:type="pct"/>
            <w:noWrap/>
            <w:hideMark/>
          </w:tcPr>
          <w:p w14:paraId="16967E5A"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(11,193,000.00)</w:t>
            </w:r>
          </w:p>
        </w:tc>
        <w:tc>
          <w:tcPr>
            <w:tcW w:w="340" w:type="pct"/>
            <w:noWrap/>
            <w:hideMark/>
          </w:tcPr>
          <w:p w14:paraId="267A0DDA"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c>
          <w:tcPr>
            <w:tcW w:w="317" w:type="pct"/>
            <w:noWrap/>
            <w:hideMark/>
          </w:tcPr>
          <w:p w14:paraId="33721ECA"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1.00</w:t>
            </w:r>
          </w:p>
        </w:tc>
        <w:tc>
          <w:tcPr>
            <w:tcW w:w="332" w:type="pct"/>
            <w:noWrap/>
            <w:hideMark/>
          </w:tcPr>
          <w:p w14:paraId="3C1406DF"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c>
          <w:tcPr>
            <w:tcW w:w="317" w:type="pct"/>
            <w:noWrap/>
            <w:hideMark/>
          </w:tcPr>
          <w:p w14:paraId="67586A88"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r>
      <w:tr w:rsidR="00D11502" w14:paraId="64C8FD99" w14:textId="77777777" w:rsidTr="00F23B1D">
        <w:trPr>
          <w:trHeight w:val="281"/>
        </w:trPr>
        <w:tc>
          <w:tcPr>
            <w:cnfStyle w:val="001000000000" w:firstRow="0" w:lastRow="0" w:firstColumn="1" w:lastColumn="0" w:oddVBand="0" w:evenVBand="0" w:oddHBand="0" w:evenHBand="0" w:firstRowFirstColumn="0" w:firstRowLastColumn="0" w:lastRowFirstColumn="0" w:lastRowLastColumn="0"/>
            <w:tcW w:w="663" w:type="pct"/>
            <w:noWrap/>
            <w:hideMark/>
          </w:tcPr>
          <w:p w14:paraId="692FC22C"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January 22, 2021</w:t>
            </w:r>
          </w:p>
        </w:tc>
        <w:tc>
          <w:tcPr>
            <w:tcW w:w="462" w:type="pct"/>
            <w:noWrap/>
            <w:hideMark/>
          </w:tcPr>
          <w:p w14:paraId="68390359"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LCB260421</w:t>
            </w:r>
          </w:p>
        </w:tc>
        <w:tc>
          <w:tcPr>
            <w:tcW w:w="516" w:type="pct"/>
            <w:noWrap/>
            <w:hideMark/>
          </w:tcPr>
          <w:p w14:paraId="6E4266B7"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91 day T</w:t>
            </w:r>
            <w:r>
              <w:rPr>
                <w:rFonts w:eastAsia="Times New Roman" w:cs="Times New Roman"/>
                <w:b/>
                <w:bCs/>
                <w:color w:val="000000"/>
                <w:sz w:val="14"/>
                <w:szCs w:val="16"/>
                <w:lang w:eastAsia="en-029"/>
              </w:rPr>
              <w:t>-</w:t>
            </w:r>
            <w:r w:rsidRPr="00996869">
              <w:rPr>
                <w:rFonts w:eastAsia="Times New Roman" w:cs="Times New Roman"/>
                <w:b/>
                <w:bCs/>
                <w:color w:val="000000"/>
                <w:sz w:val="14"/>
                <w:szCs w:val="16"/>
                <w:lang w:eastAsia="en-029"/>
              </w:rPr>
              <w:t>bill</w:t>
            </w:r>
          </w:p>
        </w:tc>
        <w:tc>
          <w:tcPr>
            <w:tcW w:w="502" w:type="pct"/>
            <w:hideMark/>
          </w:tcPr>
          <w:p w14:paraId="046B5E37"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11,000,000.00</w:t>
            </w:r>
          </w:p>
        </w:tc>
        <w:tc>
          <w:tcPr>
            <w:tcW w:w="502" w:type="pct"/>
            <w:hideMark/>
          </w:tcPr>
          <w:p w14:paraId="260A0E77"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11,000,000.00</w:t>
            </w:r>
          </w:p>
        </w:tc>
        <w:tc>
          <w:tcPr>
            <w:tcW w:w="502" w:type="pct"/>
            <w:hideMark/>
          </w:tcPr>
          <w:p w14:paraId="6AD9C4B1"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11,000,000.00</w:t>
            </w:r>
          </w:p>
        </w:tc>
        <w:tc>
          <w:tcPr>
            <w:tcW w:w="548" w:type="pct"/>
            <w:noWrap/>
            <w:hideMark/>
          </w:tcPr>
          <w:p w14:paraId="3F5BB5DC"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0.00</w:t>
            </w:r>
          </w:p>
        </w:tc>
        <w:tc>
          <w:tcPr>
            <w:tcW w:w="340" w:type="pct"/>
            <w:noWrap/>
            <w:hideMark/>
          </w:tcPr>
          <w:p w14:paraId="3C5C80A1"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3.50</w:t>
            </w:r>
          </w:p>
        </w:tc>
        <w:tc>
          <w:tcPr>
            <w:tcW w:w="317" w:type="pct"/>
            <w:noWrap/>
            <w:hideMark/>
          </w:tcPr>
          <w:p w14:paraId="43BF73CF"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1.50</w:t>
            </w:r>
          </w:p>
        </w:tc>
        <w:tc>
          <w:tcPr>
            <w:tcW w:w="332" w:type="pct"/>
            <w:noWrap/>
            <w:hideMark/>
          </w:tcPr>
          <w:p w14:paraId="22CAA571"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3.50</w:t>
            </w:r>
          </w:p>
        </w:tc>
        <w:tc>
          <w:tcPr>
            <w:tcW w:w="317" w:type="pct"/>
            <w:noWrap/>
            <w:hideMark/>
          </w:tcPr>
          <w:p w14:paraId="5339A057"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3.50</w:t>
            </w:r>
          </w:p>
        </w:tc>
      </w:tr>
      <w:tr w:rsidR="00D11502" w14:paraId="3714EB00" w14:textId="77777777" w:rsidTr="00F23B1D">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663" w:type="pct"/>
            <w:noWrap/>
            <w:hideMark/>
          </w:tcPr>
          <w:p w14:paraId="0DB5C82D"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February 4, 2021</w:t>
            </w:r>
          </w:p>
        </w:tc>
        <w:tc>
          <w:tcPr>
            <w:tcW w:w="462" w:type="pct"/>
            <w:noWrap/>
            <w:hideMark/>
          </w:tcPr>
          <w:p w14:paraId="11CD27EA"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LCB040821</w:t>
            </w:r>
          </w:p>
        </w:tc>
        <w:tc>
          <w:tcPr>
            <w:tcW w:w="516" w:type="pct"/>
            <w:noWrap/>
            <w:hideMark/>
          </w:tcPr>
          <w:p w14:paraId="0680ED04"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180 day T</w:t>
            </w:r>
            <w:r>
              <w:rPr>
                <w:rFonts w:eastAsia="Times New Roman" w:cs="Times New Roman"/>
                <w:b/>
                <w:bCs/>
                <w:color w:val="000000"/>
                <w:sz w:val="14"/>
                <w:szCs w:val="16"/>
                <w:lang w:eastAsia="en-029"/>
              </w:rPr>
              <w:t>-</w:t>
            </w:r>
            <w:r w:rsidRPr="00996869">
              <w:rPr>
                <w:rFonts w:eastAsia="Times New Roman" w:cs="Times New Roman"/>
                <w:b/>
                <w:bCs/>
                <w:color w:val="000000"/>
                <w:sz w:val="14"/>
                <w:szCs w:val="16"/>
                <w:lang w:eastAsia="en-029"/>
              </w:rPr>
              <w:t>bill</w:t>
            </w:r>
          </w:p>
        </w:tc>
        <w:tc>
          <w:tcPr>
            <w:tcW w:w="502" w:type="pct"/>
            <w:hideMark/>
          </w:tcPr>
          <w:p w14:paraId="1B115DFD"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25,000,000.00</w:t>
            </w:r>
          </w:p>
        </w:tc>
        <w:tc>
          <w:tcPr>
            <w:tcW w:w="502" w:type="pct"/>
            <w:hideMark/>
          </w:tcPr>
          <w:p w14:paraId="044F7AD8"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26,092,000.00</w:t>
            </w:r>
          </w:p>
        </w:tc>
        <w:tc>
          <w:tcPr>
            <w:tcW w:w="502" w:type="pct"/>
            <w:hideMark/>
          </w:tcPr>
          <w:p w14:paraId="78287254"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25,000,000.00</w:t>
            </w:r>
          </w:p>
        </w:tc>
        <w:tc>
          <w:tcPr>
            <w:tcW w:w="548" w:type="pct"/>
            <w:noWrap/>
            <w:hideMark/>
          </w:tcPr>
          <w:p w14:paraId="42B6F3C1"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1,092,000.00</w:t>
            </w:r>
          </w:p>
        </w:tc>
        <w:tc>
          <w:tcPr>
            <w:tcW w:w="340" w:type="pct"/>
            <w:noWrap/>
            <w:hideMark/>
          </w:tcPr>
          <w:p w14:paraId="7FB21B09"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3.00</w:t>
            </w:r>
          </w:p>
        </w:tc>
        <w:tc>
          <w:tcPr>
            <w:tcW w:w="317" w:type="pct"/>
            <w:noWrap/>
            <w:hideMark/>
          </w:tcPr>
          <w:p w14:paraId="6EC425FF"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1.00</w:t>
            </w:r>
          </w:p>
        </w:tc>
        <w:tc>
          <w:tcPr>
            <w:tcW w:w="332" w:type="pct"/>
            <w:noWrap/>
            <w:hideMark/>
          </w:tcPr>
          <w:p w14:paraId="75F2A00B"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c>
          <w:tcPr>
            <w:tcW w:w="317" w:type="pct"/>
            <w:noWrap/>
            <w:hideMark/>
          </w:tcPr>
          <w:p w14:paraId="77F2C24D"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r>
      <w:tr w:rsidR="00D11502" w14:paraId="78012C15" w14:textId="77777777" w:rsidTr="00F23B1D">
        <w:trPr>
          <w:trHeight w:val="281"/>
        </w:trPr>
        <w:tc>
          <w:tcPr>
            <w:cnfStyle w:val="001000000000" w:firstRow="0" w:lastRow="0" w:firstColumn="1" w:lastColumn="0" w:oddVBand="0" w:evenVBand="0" w:oddHBand="0" w:evenHBand="0" w:firstRowFirstColumn="0" w:firstRowLastColumn="0" w:lastRowFirstColumn="0" w:lastRowLastColumn="0"/>
            <w:tcW w:w="663" w:type="pct"/>
            <w:noWrap/>
            <w:hideMark/>
          </w:tcPr>
          <w:p w14:paraId="38882F8C"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April 14, 2021</w:t>
            </w:r>
          </w:p>
        </w:tc>
        <w:tc>
          <w:tcPr>
            <w:tcW w:w="462" w:type="pct"/>
            <w:noWrap/>
            <w:hideMark/>
          </w:tcPr>
          <w:p w14:paraId="5B94F1D0"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LCB121021</w:t>
            </w:r>
          </w:p>
        </w:tc>
        <w:tc>
          <w:tcPr>
            <w:tcW w:w="516" w:type="pct"/>
            <w:noWrap/>
            <w:hideMark/>
          </w:tcPr>
          <w:p w14:paraId="7C0D9E3D"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180 day T</w:t>
            </w:r>
            <w:r>
              <w:rPr>
                <w:rFonts w:eastAsia="Times New Roman" w:cs="Times New Roman"/>
                <w:b/>
                <w:bCs/>
                <w:color w:val="000000"/>
                <w:sz w:val="14"/>
                <w:szCs w:val="16"/>
                <w:lang w:eastAsia="en-029"/>
              </w:rPr>
              <w:t>-</w:t>
            </w:r>
            <w:r w:rsidRPr="00996869">
              <w:rPr>
                <w:rFonts w:eastAsia="Times New Roman" w:cs="Times New Roman"/>
                <w:b/>
                <w:bCs/>
                <w:color w:val="000000"/>
                <w:sz w:val="14"/>
                <w:szCs w:val="16"/>
                <w:lang w:eastAsia="en-029"/>
              </w:rPr>
              <w:t>bill</w:t>
            </w:r>
          </w:p>
        </w:tc>
        <w:tc>
          <w:tcPr>
            <w:tcW w:w="502" w:type="pct"/>
            <w:hideMark/>
          </w:tcPr>
          <w:p w14:paraId="317C76A8"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20,000,000.00</w:t>
            </w:r>
          </w:p>
        </w:tc>
        <w:tc>
          <w:tcPr>
            <w:tcW w:w="502" w:type="pct"/>
            <w:hideMark/>
          </w:tcPr>
          <w:p w14:paraId="0EE0E579"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16,030,000.00</w:t>
            </w:r>
          </w:p>
        </w:tc>
        <w:tc>
          <w:tcPr>
            <w:tcW w:w="502" w:type="pct"/>
            <w:hideMark/>
          </w:tcPr>
          <w:p w14:paraId="64D00FA6"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16,030,000.00</w:t>
            </w:r>
          </w:p>
        </w:tc>
        <w:tc>
          <w:tcPr>
            <w:tcW w:w="548" w:type="pct"/>
            <w:noWrap/>
            <w:hideMark/>
          </w:tcPr>
          <w:p w14:paraId="1CF53217"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(3,970,000.00)</w:t>
            </w:r>
          </w:p>
        </w:tc>
        <w:tc>
          <w:tcPr>
            <w:tcW w:w="340" w:type="pct"/>
            <w:noWrap/>
            <w:hideMark/>
          </w:tcPr>
          <w:p w14:paraId="058F6D95"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c>
          <w:tcPr>
            <w:tcW w:w="317" w:type="pct"/>
            <w:noWrap/>
            <w:hideMark/>
          </w:tcPr>
          <w:p w14:paraId="6A6B9CB5"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1.00</w:t>
            </w:r>
          </w:p>
        </w:tc>
        <w:tc>
          <w:tcPr>
            <w:tcW w:w="332" w:type="pct"/>
            <w:noWrap/>
            <w:hideMark/>
          </w:tcPr>
          <w:p w14:paraId="3D67B2B5"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c>
          <w:tcPr>
            <w:tcW w:w="317" w:type="pct"/>
            <w:noWrap/>
            <w:hideMark/>
          </w:tcPr>
          <w:p w14:paraId="4E3F9342"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r>
      <w:tr w:rsidR="00D11502" w14:paraId="7EDEAB9D" w14:textId="77777777" w:rsidTr="00F23B1D">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663" w:type="pct"/>
            <w:noWrap/>
            <w:hideMark/>
          </w:tcPr>
          <w:p w14:paraId="60050B0D"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April 16, 2021</w:t>
            </w:r>
          </w:p>
        </w:tc>
        <w:tc>
          <w:tcPr>
            <w:tcW w:w="462" w:type="pct"/>
            <w:noWrap/>
            <w:hideMark/>
          </w:tcPr>
          <w:p w14:paraId="3C85E171"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LCB190721</w:t>
            </w:r>
          </w:p>
        </w:tc>
        <w:tc>
          <w:tcPr>
            <w:tcW w:w="516" w:type="pct"/>
            <w:noWrap/>
            <w:hideMark/>
          </w:tcPr>
          <w:p w14:paraId="77267F38"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180 day T</w:t>
            </w:r>
            <w:r>
              <w:rPr>
                <w:rFonts w:eastAsia="Times New Roman" w:cs="Times New Roman"/>
                <w:b/>
                <w:bCs/>
                <w:color w:val="000000"/>
                <w:sz w:val="14"/>
                <w:szCs w:val="16"/>
                <w:lang w:eastAsia="en-029"/>
              </w:rPr>
              <w:t>-</w:t>
            </w:r>
            <w:r w:rsidRPr="00996869">
              <w:rPr>
                <w:rFonts w:eastAsia="Times New Roman" w:cs="Times New Roman"/>
                <w:b/>
                <w:bCs/>
                <w:color w:val="000000"/>
                <w:sz w:val="14"/>
                <w:szCs w:val="16"/>
                <w:lang w:eastAsia="en-029"/>
              </w:rPr>
              <w:t>bill</w:t>
            </w:r>
          </w:p>
        </w:tc>
        <w:tc>
          <w:tcPr>
            <w:tcW w:w="502" w:type="pct"/>
            <w:hideMark/>
          </w:tcPr>
          <w:p w14:paraId="1AEB7903"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16,000,000.00</w:t>
            </w:r>
          </w:p>
        </w:tc>
        <w:tc>
          <w:tcPr>
            <w:tcW w:w="502" w:type="pct"/>
            <w:hideMark/>
          </w:tcPr>
          <w:p w14:paraId="568E30B2"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13,677,000.00</w:t>
            </w:r>
          </w:p>
        </w:tc>
        <w:tc>
          <w:tcPr>
            <w:tcW w:w="502" w:type="pct"/>
            <w:hideMark/>
          </w:tcPr>
          <w:p w14:paraId="27EEF6E1"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13,677,000.00</w:t>
            </w:r>
          </w:p>
        </w:tc>
        <w:tc>
          <w:tcPr>
            <w:tcW w:w="548" w:type="pct"/>
            <w:noWrap/>
            <w:hideMark/>
          </w:tcPr>
          <w:p w14:paraId="1581E3E4"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(2,323,000.00)</w:t>
            </w:r>
          </w:p>
        </w:tc>
        <w:tc>
          <w:tcPr>
            <w:tcW w:w="340" w:type="pct"/>
            <w:noWrap/>
            <w:hideMark/>
          </w:tcPr>
          <w:p w14:paraId="3310669D"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3.50</w:t>
            </w:r>
          </w:p>
        </w:tc>
        <w:tc>
          <w:tcPr>
            <w:tcW w:w="317" w:type="pct"/>
            <w:noWrap/>
            <w:hideMark/>
          </w:tcPr>
          <w:p w14:paraId="173D6523"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3.50</w:t>
            </w:r>
          </w:p>
        </w:tc>
        <w:tc>
          <w:tcPr>
            <w:tcW w:w="332" w:type="pct"/>
            <w:noWrap/>
            <w:hideMark/>
          </w:tcPr>
          <w:p w14:paraId="295DA9DC"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3.50</w:t>
            </w:r>
          </w:p>
        </w:tc>
        <w:tc>
          <w:tcPr>
            <w:tcW w:w="317" w:type="pct"/>
            <w:noWrap/>
            <w:hideMark/>
          </w:tcPr>
          <w:p w14:paraId="094A34F7"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3.50</w:t>
            </w:r>
          </w:p>
        </w:tc>
      </w:tr>
      <w:tr w:rsidR="00D11502" w14:paraId="386092AA" w14:textId="77777777" w:rsidTr="00F23B1D">
        <w:trPr>
          <w:trHeight w:val="281"/>
        </w:trPr>
        <w:tc>
          <w:tcPr>
            <w:cnfStyle w:val="001000000000" w:firstRow="0" w:lastRow="0" w:firstColumn="1" w:lastColumn="0" w:oddVBand="0" w:evenVBand="0" w:oddHBand="0" w:evenHBand="0" w:firstRowFirstColumn="0" w:firstRowLastColumn="0" w:lastRowFirstColumn="0" w:lastRowLastColumn="0"/>
            <w:tcW w:w="663" w:type="pct"/>
            <w:noWrap/>
            <w:hideMark/>
          </w:tcPr>
          <w:p w14:paraId="3F6A959B"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April 26, 2021</w:t>
            </w:r>
          </w:p>
        </w:tc>
        <w:tc>
          <w:tcPr>
            <w:tcW w:w="462" w:type="pct"/>
            <w:noWrap/>
            <w:hideMark/>
          </w:tcPr>
          <w:p w14:paraId="76FA209D"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LCB270721</w:t>
            </w:r>
          </w:p>
        </w:tc>
        <w:tc>
          <w:tcPr>
            <w:tcW w:w="516" w:type="pct"/>
            <w:noWrap/>
            <w:hideMark/>
          </w:tcPr>
          <w:p w14:paraId="74C227E9"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91 day T</w:t>
            </w:r>
            <w:r>
              <w:rPr>
                <w:rFonts w:eastAsia="Times New Roman" w:cs="Times New Roman"/>
                <w:b/>
                <w:bCs/>
                <w:color w:val="000000"/>
                <w:sz w:val="14"/>
                <w:szCs w:val="16"/>
                <w:lang w:eastAsia="en-029"/>
              </w:rPr>
              <w:t>-</w:t>
            </w:r>
            <w:r w:rsidRPr="00996869">
              <w:rPr>
                <w:rFonts w:eastAsia="Times New Roman" w:cs="Times New Roman"/>
                <w:b/>
                <w:bCs/>
                <w:color w:val="000000"/>
                <w:sz w:val="14"/>
                <w:szCs w:val="16"/>
                <w:lang w:eastAsia="en-029"/>
              </w:rPr>
              <w:t>bill</w:t>
            </w:r>
          </w:p>
        </w:tc>
        <w:tc>
          <w:tcPr>
            <w:tcW w:w="502" w:type="pct"/>
            <w:hideMark/>
          </w:tcPr>
          <w:p w14:paraId="5781FFAB"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16,000,000.00</w:t>
            </w:r>
          </w:p>
        </w:tc>
        <w:tc>
          <w:tcPr>
            <w:tcW w:w="502" w:type="pct"/>
            <w:hideMark/>
          </w:tcPr>
          <w:p w14:paraId="313A1DDC"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16,020,000.00</w:t>
            </w:r>
          </w:p>
        </w:tc>
        <w:tc>
          <w:tcPr>
            <w:tcW w:w="502" w:type="pct"/>
            <w:hideMark/>
          </w:tcPr>
          <w:p w14:paraId="1D98597D"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16,000,000.00</w:t>
            </w:r>
          </w:p>
        </w:tc>
        <w:tc>
          <w:tcPr>
            <w:tcW w:w="548" w:type="pct"/>
            <w:noWrap/>
            <w:hideMark/>
          </w:tcPr>
          <w:p w14:paraId="78ADDEB5"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20,000.00</w:t>
            </w:r>
          </w:p>
        </w:tc>
        <w:tc>
          <w:tcPr>
            <w:tcW w:w="340" w:type="pct"/>
            <w:noWrap/>
            <w:hideMark/>
          </w:tcPr>
          <w:p w14:paraId="4145BED7"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3.50</w:t>
            </w:r>
          </w:p>
        </w:tc>
        <w:tc>
          <w:tcPr>
            <w:tcW w:w="317" w:type="pct"/>
            <w:noWrap/>
            <w:hideMark/>
          </w:tcPr>
          <w:p w14:paraId="2BB705F7"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1.50</w:t>
            </w:r>
          </w:p>
        </w:tc>
        <w:tc>
          <w:tcPr>
            <w:tcW w:w="332" w:type="pct"/>
            <w:noWrap/>
            <w:hideMark/>
          </w:tcPr>
          <w:p w14:paraId="276C8FA0"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3.50</w:t>
            </w:r>
          </w:p>
        </w:tc>
        <w:tc>
          <w:tcPr>
            <w:tcW w:w="317" w:type="pct"/>
            <w:noWrap/>
            <w:hideMark/>
          </w:tcPr>
          <w:p w14:paraId="0ACEBE20"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3.50</w:t>
            </w:r>
          </w:p>
        </w:tc>
      </w:tr>
      <w:tr w:rsidR="00D11502" w14:paraId="3B401BD8" w14:textId="77777777" w:rsidTr="00F23B1D">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663" w:type="pct"/>
            <w:noWrap/>
            <w:hideMark/>
          </w:tcPr>
          <w:p w14:paraId="6BE750B5"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July 14, 2021</w:t>
            </w:r>
          </w:p>
        </w:tc>
        <w:tc>
          <w:tcPr>
            <w:tcW w:w="462" w:type="pct"/>
            <w:noWrap/>
            <w:hideMark/>
          </w:tcPr>
          <w:p w14:paraId="24101E80"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LCG070728</w:t>
            </w:r>
          </w:p>
        </w:tc>
        <w:tc>
          <w:tcPr>
            <w:tcW w:w="516" w:type="pct"/>
            <w:noWrap/>
            <w:hideMark/>
          </w:tcPr>
          <w:p w14:paraId="196ED9F6"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7 year Bond</w:t>
            </w:r>
          </w:p>
        </w:tc>
        <w:tc>
          <w:tcPr>
            <w:tcW w:w="502" w:type="pct"/>
            <w:hideMark/>
          </w:tcPr>
          <w:p w14:paraId="4CAC7474"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30,000,000.00</w:t>
            </w:r>
          </w:p>
        </w:tc>
        <w:tc>
          <w:tcPr>
            <w:tcW w:w="502" w:type="pct"/>
            <w:hideMark/>
          </w:tcPr>
          <w:p w14:paraId="0EFC67ED"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23,962,000.00</w:t>
            </w:r>
          </w:p>
        </w:tc>
        <w:tc>
          <w:tcPr>
            <w:tcW w:w="502" w:type="pct"/>
            <w:hideMark/>
          </w:tcPr>
          <w:p w14:paraId="042BA427"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23,962,000.00</w:t>
            </w:r>
          </w:p>
        </w:tc>
        <w:tc>
          <w:tcPr>
            <w:tcW w:w="548" w:type="pct"/>
            <w:noWrap/>
            <w:hideMark/>
          </w:tcPr>
          <w:p w14:paraId="1945105C"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(6,038,000.00)</w:t>
            </w:r>
          </w:p>
        </w:tc>
        <w:tc>
          <w:tcPr>
            <w:tcW w:w="340" w:type="pct"/>
            <w:noWrap/>
            <w:hideMark/>
          </w:tcPr>
          <w:p w14:paraId="09916900"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7.10</w:t>
            </w:r>
          </w:p>
        </w:tc>
        <w:tc>
          <w:tcPr>
            <w:tcW w:w="317" w:type="pct"/>
            <w:noWrap/>
            <w:hideMark/>
          </w:tcPr>
          <w:p w14:paraId="2A75D4BB"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7.00</w:t>
            </w:r>
          </w:p>
        </w:tc>
        <w:tc>
          <w:tcPr>
            <w:tcW w:w="332" w:type="pct"/>
            <w:noWrap/>
            <w:hideMark/>
          </w:tcPr>
          <w:p w14:paraId="056ED876"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7.10</w:t>
            </w:r>
          </w:p>
        </w:tc>
        <w:tc>
          <w:tcPr>
            <w:tcW w:w="317" w:type="pct"/>
            <w:noWrap/>
            <w:hideMark/>
          </w:tcPr>
          <w:p w14:paraId="0872E822"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7.10</w:t>
            </w:r>
          </w:p>
        </w:tc>
      </w:tr>
      <w:tr w:rsidR="00D11502" w14:paraId="4060C116" w14:textId="77777777" w:rsidTr="00F23B1D">
        <w:trPr>
          <w:trHeight w:val="281"/>
        </w:trPr>
        <w:tc>
          <w:tcPr>
            <w:cnfStyle w:val="001000000000" w:firstRow="0" w:lastRow="0" w:firstColumn="1" w:lastColumn="0" w:oddVBand="0" w:evenVBand="0" w:oddHBand="0" w:evenHBand="0" w:firstRowFirstColumn="0" w:firstRowLastColumn="0" w:lastRowFirstColumn="0" w:lastRowLastColumn="0"/>
            <w:tcW w:w="663" w:type="pct"/>
            <w:noWrap/>
            <w:hideMark/>
          </w:tcPr>
          <w:p w14:paraId="25790FDA"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July 19, 2021</w:t>
            </w:r>
          </w:p>
        </w:tc>
        <w:tc>
          <w:tcPr>
            <w:tcW w:w="462" w:type="pct"/>
            <w:noWrap/>
            <w:hideMark/>
          </w:tcPr>
          <w:p w14:paraId="3061E4A1"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LCB191021</w:t>
            </w:r>
          </w:p>
        </w:tc>
        <w:tc>
          <w:tcPr>
            <w:tcW w:w="516" w:type="pct"/>
            <w:noWrap/>
            <w:hideMark/>
          </w:tcPr>
          <w:p w14:paraId="368CC470"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91 day T</w:t>
            </w:r>
            <w:r>
              <w:rPr>
                <w:rFonts w:eastAsia="Times New Roman" w:cs="Times New Roman"/>
                <w:b/>
                <w:bCs/>
                <w:color w:val="000000"/>
                <w:sz w:val="14"/>
                <w:szCs w:val="16"/>
                <w:lang w:eastAsia="en-029"/>
              </w:rPr>
              <w:t>-</w:t>
            </w:r>
            <w:r w:rsidRPr="00996869">
              <w:rPr>
                <w:rFonts w:eastAsia="Times New Roman" w:cs="Times New Roman"/>
                <w:b/>
                <w:bCs/>
                <w:color w:val="000000"/>
                <w:sz w:val="14"/>
                <w:szCs w:val="16"/>
                <w:lang w:eastAsia="en-029"/>
              </w:rPr>
              <w:t>bill</w:t>
            </w:r>
          </w:p>
        </w:tc>
        <w:tc>
          <w:tcPr>
            <w:tcW w:w="502" w:type="pct"/>
            <w:hideMark/>
          </w:tcPr>
          <w:p w14:paraId="5158CF42"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16,000,000.00</w:t>
            </w:r>
          </w:p>
        </w:tc>
        <w:tc>
          <w:tcPr>
            <w:tcW w:w="502" w:type="pct"/>
            <w:hideMark/>
          </w:tcPr>
          <w:p w14:paraId="5713F742"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19,681,000.00</w:t>
            </w:r>
          </w:p>
        </w:tc>
        <w:tc>
          <w:tcPr>
            <w:tcW w:w="502" w:type="pct"/>
            <w:hideMark/>
          </w:tcPr>
          <w:p w14:paraId="3401887A"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16,000,000.00</w:t>
            </w:r>
          </w:p>
        </w:tc>
        <w:tc>
          <w:tcPr>
            <w:tcW w:w="548" w:type="pct"/>
            <w:noWrap/>
            <w:hideMark/>
          </w:tcPr>
          <w:p w14:paraId="39DD8092"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3,681,000.00</w:t>
            </w:r>
          </w:p>
        </w:tc>
        <w:tc>
          <w:tcPr>
            <w:tcW w:w="340" w:type="pct"/>
            <w:noWrap/>
            <w:hideMark/>
          </w:tcPr>
          <w:p w14:paraId="019A2920"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2.50</w:t>
            </w:r>
          </w:p>
        </w:tc>
        <w:tc>
          <w:tcPr>
            <w:tcW w:w="317" w:type="pct"/>
            <w:noWrap/>
            <w:hideMark/>
          </w:tcPr>
          <w:p w14:paraId="12285A10"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1.50</w:t>
            </w:r>
          </w:p>
        </w:tc>
        <w:tc>
          <w:tcPr>
            <w:tcW w:w="332" w:type="pct"/>
            <w:noWrap/>
            <w:hideMark/>
          </w:tcPr>
          <w:p w14:paraId="3113DC73"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3.02</w:t>
            </w:r>
          </w:p>
        </w:tc>
        <w:tc>
          <w:tcPr>
            <w:tcW w:w="317" w:type="pct"/>
            <w:noWrap/>
            <w:hideMark/>
          </w:tcPr>
          <w:p w14:paraId="61FCF570"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2.50</w:t>
            </w:r>
          </w:p>
        </w:tc>
      </w:tr>
      <w:tr w:rsidR="00D11502" w14:paraId="071984F0" w14:textId="77777777" w:rsidTr="00F23B1D">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663" w:type="pct"/>
            <w:noWrap/>
            <w:hideMark/>
          </w:tcPr>
          <w:p w14:paraId="5ADC40A8"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July 20, 2021</w:t>
            </w:r>
          </w:p>
        </w:tc>
        <w:tc>
          <w:tcPr>
            <w:tcW w:w="462" w:type="pct"/>
            <w:noWrap/>
            <w:hideMark/>
          </w:tcPr>
          <w:p w14:paraId="4EA95ACD"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LCN210723</w:t>
            </w:r>
          </w:p>
        </w:tc>
        <w:tc>
          <w:tcPr>
            <w:tcW w:w="516" w:type="pct"/>
            <w:noWrap/>
            <w:hideMark/>
          </w:tcPr>
          <w:p w14:paraId="520D4848"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 year Note</w:t>
            </w:r>
          </w:p>
        </w:tc>
        <w:tc>
          <w:tcPr>
            <w:tcW w:w="502" w:type="pct"/>
            <w:hideMark/>
          </w:tcPr>
          <w:p w14:paraId="629ADBE1"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16,000,000.00</w:t>
            </w:r>
          </w:p>
        </w:tc>
        <w:tc>
          <w:tcPr>
            <w:tcW w:w="502" w:type="pct"/>
            <w:hideMark/>
          </w:tcPr>
          <w:p w14:paraId="69F22BE4"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16,139,000.00</w:t>
            </w:r>
          </w:p>
        </w:tc>
        <w:tc>
          <w:tcPr>
            <w:tcW w:w="502" w:type="pct"/>
            <w:hideMark/>
          </w:tcPr>
          <w:p w14:paraId="0A8AABEA"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16,000,000.00</w:t>
            </w:r>
          </w:p>
        </w:tc>
        <w:tc>
          <w:tcPr>
            <w:tcW w:w="548" w:type="pct"/>
            <w:noWrap/>
            <w:hideMark/>
          </w:tcPr>
          <w:p w14:paraId="04F1DA92"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139,000.00</w:t>
            </w:r>
          </w:p>
        </w:tc>
        <w:tc>
          <w:tcPr>
            <w:tcW w:w="340" w:type="pct"/>
            <w:noWrap/>
            <w:hideMark/>
          </w:tcPr>
          <w:p w14:paraId="4D5ACD1C"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4.50</w:t>
            </w:r>
          </w:p>
        </w:tc>
        <w:tc>
          <w:tcPr>
            <w:tcW w:w="317" w:type="pct"/>
            <w:noWrap/>
            <w:hideMark/>
          </w:tcPr>
          <w:p w14:paraId="2F7B7C3F"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4.50</w:t>
            </w:r>
          </w:p>
        </w:tc>
        <w:tc>
          <w:tcPr>
            <w:tcW w:w="332" w:type="pct"/>
            <w:noWrap/>
            <w:hideMark/>
          </w:tcPr>
          <w:p w14:paraId="2F5A44E5"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4.50</w:t>
            </w:r>
          </w:p>
        </w:tc>
        <w:tc>
          <w:tcPr>
            <w:tcW w:w="317" w:type="pct"/>
            <w:noWrap/>
            <w:hideMark/>
          </w:tcPr>
          <w:p w14:paraId="3511CE06"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4.50</w:t>
            </w:r>
          </w:p>
        </w:tc>
      </w:tr>
      <w:tr w:rsidR="00D11502" w14:paraId="2951AF3C" w14:textId="77777777" w:rsidTr="00F23B1D">
        <w:trPr>
          <w:trHeight w:val="281"/>
        </w:trPr>
        <w:tc>
          <w:tcPr>
            <w:cnfStyle w:val="001000000000" w:firstRow="0" w:lastRow="0" w:firstColumn="1" w:lastColumn="0" w:oddVBand="0" w:evenVBand="0" w:oddHBand="0" w:evenHBand="0" w:firstRowFirstColumn="0" w:firstRowLastColumn="0" w:lastRowFirstColumn="0" w:lastRowLastColumn="0"/>
            <w:tcW w:w="663" w:type="pct"/>
            <w:noWrap/>
            <w:hideMark/>
          </w:tcPr>
          <w:p w14:paraId="790DACF9"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July 28, 2021</w:t>
            </w:r>
          </w:p>
        </w:tc>
        <w:tc>
          <w:tcPr>
            <w:tcW w:w="462" w:type="pct"/>
            <w:noWrap/>
            <w:hideMark/>
          </w:tcPr>
          <w:p w14:paraId="1CB1B8BB"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LCB281021</w:t>
            </w:r>
          </w:p>
        </w:tc>
        <w:tc>
          <w:tcPr>
            <w:tcW w:w="516" w:type="pct"/>
            <w:noWrap/>
            <w:hideMark/>
          </w:tcPr>
          <w:p w14:paraId="6908A38A"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91 day T</w:t>
            </w:r>
            <w:r>
              <w:rPr>
                <w:rFonts w:eastAsia="Times New Roman" w:cs="Times New Roman"/>
                <w:b/>
                <w:bCs/>
                <w:color w:val="000000"/>
                <w:sz w:val="14"/>
                <w:szCs w:val="16"/>
                <w:lang w:eastAsia="en-029"/>
              </w:rPr>
              <w:t>-</w:t>
            </w:r>
            <w:r w:rsidRPr="00996869">
              <w:rPr>
                <w:rFonts w:eastAsia="Times New Roman" w:cs="Times New Roman"/>
                <w:b/>
                <w:bCs/>
                <w:color w:val="000000"/>
                <w:sz w:val="14"/>
                <w:szCs w:val="16"/>
                <w:lang w:eastAsia="en-029"/>
              </w:rPr>
              <w:t>bill</w:t>
            </w:r>
          </w:p>
        </w:tc>
        <w:tc>
          <w:tcPr>
            <w:tcW w:w="502" w:type="pct"/>
            <w:hideMark/>
          </w:tcPr>
          <w:p w14:paraId="0B76DB86"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16,000,000.00</w:t>
            </w:r>
          </w:p>
        </w:tc>
        <w:tc>
          <w:tcPr>
            <w:tcW w:w="502" w:type="pct"/>
            <w:hideMark/>
          </w:tcPr>
          <w:p w14:paraId="69D056DA"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19,296,000.00</w:t>
            </w:r>
          </w:p>
        </w:tc>
        <w:tc>
          <w:tcPr>
            <w:tcW w:w="502" w:type="pct"/>
            <w:hideMark/>
          </w:tcPr>
          <w:p w14:paraId="78A0EBB8"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16,000,000.00</w:t>
            </w:r>
          </w:p>
        </w:tc>
        <w:tc>
          <w:tcPr>
            <w:tcW w:w="548" w:type="pct"/>
            <w:noWrap/>
            <w:hideMark/>
          </w:tcPr>
          <w:p w14:paraId="507FDBB7"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3,296,000.00</w:t>
            </w:r>
          </w:p>
        </w:tc>
        <w:tc>
          <w:tcPr>
            <w:tcW w:w="340" w:type="pct"/>
            <w:noWrap/>
            <w:hideMark/>
          </w:tcPr>
          <w:p w14:paraId="541CEEA5"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2.50</w:t>
            </w:r>
          </w:p>
        </w:tc>
        <w:tc>
          <w:tcPr>
            <w:tcW w:w="317" w:type="pct"/>
            <w:noWrap/>
            <w:hideMark/>
          </w:tcPr>
          <w:p w14:paraId="74FC10BF"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1.50</w:t>
            </w:r>
          </w:p>
        </w:tc>
        <w:tc>
          <w:tcPr>
            <w:tcW w:w="332" w:type="pct"/>
            <w:noWrap/>
            <w:hideMark/>
          </w:tcPr>
          <w:p w14:paraId="051B634E"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2.50</w:t>
            </w:r>
          </w:p>
        </w:tc>
        <w:tc>
          <w:tcPr>
            <w:tcW w:w="317" w:type="pct"/>
            <w:noWrap/>
            <w:hideMark/>
          </w:tcPr>
          <w:p w14:paraId="06BD5AD1"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3.00</w:t>
            </w:r>
          </w:p>
        </w:tc>
      </w:tr>
      <w:tr w:rsidR="00D11502" w14:paraId="02DDB40E" w14:textId="77777777" w:rsidTr="00F23B1D">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663" w:type="pct"/>
            <w:noWrap/>
            <w:hideMark/>
          </w:tcPr>
          <w:p w14:paraId="3DBC6A30"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August 9, 2021</w:t>
            </w:r>
          </w:p>
        </w:tc>
        <w:tc>
          <w:tcPr>
            <w:tcW w:w="462" w:type="pct"/>
            <w:noWrap/>
            <w:hideMark/>
          </w:tcPr>
          <w:p w14:paraId="004281AB"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LCB060222</w:t>
            </w:r>
          </w:p>
        </w:tc>
        <w:tc>
          <w:tcPr>
            <w:tcW w:w="516" w:type="pct"/>
            <w:noWrap/>
            <w:hideMark/>
          </w:tcPr>
          <w:p w14:paraId="12752283"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180 day T</w:t>
            </w:r>
            <w:r>
              <w:rPr>
                <w:rFonts w:eastAsia="Times New Roman" w:cs="Times New Roman"/>
                <w:b/>
                <w:bCs/>
                <w:color w:val="000000"/>
                <w:sz w:val="14"/>
                <w:szCs w:val="16"/>
                <w:lang w:eastAsia="en-029"/>
              </w:rPr>
              <w:t>-</w:t>
            </w:r>
            <w:r w:rsidRPr="00996869">
              <w:rPr>
                <w:rFonts w:eastAsia="Times New Roman" w:cs="Times New Roman"/>
                <w:b/>
                <w:bCs/>
                <w:color w:val="000000"/>
                <w:sz w:val="14"/>
                <w:szCs w:val="16"/>
                <w:lang w:eastAsia="en-029"/>
              </w:rPr>
              <w:t>bill</w:t>
            </w:r>
          </w:p>
        </w:tc>
        <w:tc>
          <w:tcPr>
            <w:tcW w:w="502" w:type="pct"/>
            <w:hideMark/>
          </w:tcPr>
          <w:p w14:paraId="32B9C792"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30,000,000.00</w:t>
            </w:r>
          </w:p>
        </w:tc>
        <w:tc>
          <w:tcPr>
            <w:tcW w:w="502" w:type="pct"/>
            <w:hideMark/>
          </w:tcPr>
          <w:p w14:paraId="1C29F4EE"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25,981,000.00</w:t>
            </w:r>
          </w:p>
        </w:tc>
        <w:tc>
          <w:tcPr>
            <w:tcW w:w="502" w:type="pct"/>
            <w:hideMark/>
          </w:tcPr>
          <w:p w14:paraId="10A5FFB1"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25,981,000.00</w:t>
            </w:r>
          </w:p>
        </w:tc>
        <w:tc>
          <w:tcPr>
            <w:tcW w:w="548" w:type="pct"/>
            <w:noWrap/>
            <w:hideMark/>
          </w:tcPr>
          <w:p w14:paraId="4B4EE9BD"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(4,019,000.00)</w:t>
            </w:r>
          </w:p>
        </w:tc>
        <w:tc>
          <w:tcPr>
            <w:tcW w:w="340" w:type="pct"/>
            <w:noWrap/>
            <w:hideMark/>
          </w:tcPr>
          <w:p w14:paraId="2D69D998"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c>
          <w:tcPr>
            <w:tcW w:w="317" w:type="pct"/>
            <w:noWrap/>
            <w:hideMark/>
          </w:tcPr>
          <w:p w14:paraId="50CD5F34"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c>
          <w:tcPr>
            <w:tcW w:w="332" w:type="pct"/>
            <w:noWrap/>
            <w:hideMark/>
          </w:tcPr>
          <w:p w14:paraId="71CA3690"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c>
          <w:tcPr>
            <w:tcW w:w="317" w:type="pct"/>
            <w:noWrap/>
            <w:hideMark/>
          </w:tcPr>
          <w:p w14:paraId="759C28FF"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r>
      <w:tr w:rsidR="00D11502" w14:paraId="76CAE656" w14:textId="77777777" w:rsidTr="00F23B1D">
        <w:trPr>
          <w:trHeight w:val="281"/>
        </w:trPr>
        <w:tc>
          <w:tcPr>
            <w:cnfStyle w:val="001000000000" w:firstRow="0" w:lastRow="0" w:firstColumn="1" w:lastColumn="0" w:oddVBand="0" w:evenVBand="0" w:oddHBand="0" w:evenHBand="0" w:firstRowFirstColumn="0" w:firstRowLastColumn="0" w:lastRowFirstColumn="0" w:lastRowLastColumn="0"/>
            <w:tcW w:w="663" w:type="pct"/>
            <w:noWrap/>
            <w:hideMark/>
          </w:tcPr>
          <w:p w14:paraId="0E51227B"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October 14, 2021</w:t>
            </w:r>
          </w:p>
        </w:tc>
        <w:tc>
          <w:tcPr>
            <w:tcW w:w="462" w:type="pct"/>
            <w:noWrap/>
            <w:hideMark/>
          </w:tcPr>
          <w:p w14:paraId="59A46E4C"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LCB130422</w:t>
            </w:r>
          </w:p>
        </w:tc>
        <w:tc>
          <w:tcPr>
            <w:tcW w:w="516" w:type="pct"/>
            <w:noWrap/>
            <w:hideMark/>
          </w:tcPr>
          <w:p w14:paraId="1428517F"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180 day T</w:t>
            </w:r>
            <w:r>
              <w:rPr>
                <w:rFonts w:eastAsia="Times New Roman" w:cs="Times New Roman"/>
                <w:b/>
                <w:bCs/>
                <w:color w:val="000000"/>
                <w:sz w:val="14"/>
                <w:szCs w:val="16"/>
                <w:lang w:eastAsia="en-029"/>
              </w:rPr>
              <w:t>-</w:t>
            </w:r>
            <w:r w:rsidRPr="00996869">
              <w:rPr>
                <w:rFonts w:eastAsia="Times New Roman" w:cs="Times New Roman"/>
                <w:b/>
                <w:bCs/>
                <w:color w:val="000000"/>
                <w:sz w:val="14"/>
                <w:szCs w:val="16"/>
                <w:lang w:eastAsia="en-029"/>
              </w:rPr>
              <w:t>bill</w:t>
            </w:r>
          </w:p>
        </w:tc>
        <w:tc>
          <w:tcPr>
            <w:tcW w:w="502" w:type="pct"/>
            <w:hideMark/>
          </w:tcPr>
          <w:p w14:paraId="69CB4096"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20,000,000.00</w:t>
            </w:r>
          </w:p>
        </w:tc>
        <w:tc>
          <w:tcPr>
            <w:tcW w:w="502" w:type="pct"/>
            <w:hideMark/>
          </w:tcPr>
          <w:p w14:paraId="3579B753"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18,930,000.00</w:t>
            </w:r>
          </w:p>
        </w:tc>
        <w:tc>
          <w:tcPr>
            <w:tcW w:w="502" w:type="pct"/>
            <w:hideMark/>
          </w:tcPr>
          <w:p w14:paraId="197AB629"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18,930,000.00</w:t>
            </w:r>
          </w:p>
        </w:tc>
        <w:tc>
          <w:tcPr>
            <w:tcW w:w="548" w:type="pct"/>
            <w:noWrap/>
            <w:hideMark/>
          </w:tcPr>
          <w:p w14:paraId="13AAEF8E"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(1,070,000.00)</w:t>
            </w:r>
          </w:p>
        </w:tc>
        <w:tc>
          <w:tcPr>
            <w:tcW w:w="340" w:type="pct"/>
            <w:noWrap/>
            <w:hideMark/>
          </w:tcPr>
          <w:p w14:paraId="1FB4D7F4"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c>
          <w:tcPr>
            <w:tcW w:w="317" w:type="pct"/>
            <w:noWrap/>
            <w:hideMark/>
          </w:tcPr>
          <w:p w14:paraId="77CD7C69"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1.00</w:t>
            </w:r>
          </w:p>
        </w:tc>
        <w:tc>
          <w:tcPr>
            <w:tcW w:w="332" w:type="pct"/>
            <w:noWrap/>
            <w:hideMark/>
          </w:tcPr>
          <w:p w14:paraId="212AC102"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c>
          <w:tcPr>
            <w:tcW w:w="317" w:type="pct"/>
            <w:noWrap/>
            <w:hideMark/>
          </w:tcPr>
          <w:p w14:paraId="003B1CC2"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r>
      <w:tr w:rsidR="00D11502" w14:paraId="696A8A9F" w14:textId="77777777" w:rsidTr="00F23B1D">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663" w:type="pct"/>
            <w:noWrap/>
            <w:hideMark/>
          </w:tcPr>
          <w:p w14:paraId="60F3635C"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October 20, 2021</w:t>
            </w:r>
          </w:p>
        </w:tc>
        <w:tc>
          <w:tcPr>
            <w:tcW w:w="462" w:type="pct"/>
            <w:noWrap/>
            <w:hideMark/>
          </w:tcPr>
          <w:p w14:paraId="74379ADC"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LCB200122</w:t>
            </w:r>
          </w:p>
        </w:tc>
        <w:tc>
          <w:tcPr>
            <w:tcW w:w="516" w:type="pct"/>
            <w:noWrap/>
            <w:hideMark/>
          </w:tcPr>
          <w:p w14:paraId="143CCCFB"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91 day T</w:t>
            </w:r>
            <w:r>
              <w:rPr>
                <w:rFonts w:eastAsia="Times New Roman" w:cs="Times New Roman"/>
                <w:b/>
                <w:bCs/>
                <w:color w:val="000000"/>
                <w:sz w:val="14"/>
                <w:szCs w:val="16"/>
                <w:lang w:eastAsia="en-029"/>
              </w:rPr>
              <w:t>-</w:t>
            </w:r>
            <w:r w:rsidRPr="00996869">
              <w:rPr>
                <w:rFonts w:eastAsia="Times New Roman" w:cs="Times New Roman"/>
                <w:b/>
                <w:bCs/>
                <w:color w:val="000000"/>
                <w:sz w:val="14"/>
                <w:szCs w:val="16"/>
                <w:lang w:eastAsia="en-029"/>
              </w:rPr>
              <w:t>bill</w:t>
            </w:r>
          </w:p>
        </w:tc>
        <w:tc>
          <w:tcPr>
            <w:tcW w:w="502" w:type="pct"/>
            <w:hideMark/>
          </w:tcPr>
          <w:p w14:paraId="7B9071C0"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16,000,000.00</w:t>
            </w:r>
          </w:p>
        </w:tc>
        <w:tc>
          <w:tcPr>
            <w:tcW w:w="502" w:type="pct"/>
            <w:hideMark/>
          </w:tcPr>
          <w:p w14:paraId="6F68D845"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14,551,000.00</w:t>
            </w:r>
          </w:p>
        </w:tc>
        <w:tc>
          <w:tcPr>
            <w:tcW w:w="502" w:type="pct"/>
            <w:hideMark/>
          </w:tcPr>
          <w:p w14:paraId="243DC348"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14,551,000.00</w:t>
            </w:r>
          </w:p>
        </w:tc>
        <w:tc>
          <w:tcPr>
            <w:tcW w:w="548" w:type="pct"/>
            <w:noWrap/>
            <w:hideMark/>
          </w:tcPr>
          <w:p w14:paraId="70797081"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(1,449,000.00)</w:t>
            </w:r>
          </w:p>
        </w:tc>
        <w:tc>
          <w:tcPr>
            <w:tcW w:w="340" w:type="pct"/>
            <w:noWrap/>
            <w:hideMark/>
          </w:tcPr>
          <w:p w14:paraId="7DDDEC69"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3.50</w:t>
            </w:r>
          </w:p>
        </w:tc>
        <w:tc>
          <w:tcPr>
            <w:tcW w:w="317" w:type="pct"/>
            <w:noWrap/>
            <w:hideMark/>
          </w:tcPr>
          <w:p w14:paraId="45C3798C"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1.00</w:t>
            </w:r>
          </w:p>
        </w:tc>
        <w:tc>
          <w:tcPr>
            <w:tcW w:w="332" w:type="pct"/>
            <w:noWrap/>
            <w:hideMark/>
          </w:tcPr>
          <w:p w14:paraId="771ABE02"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3.50</w:t>
            </w:r>
          </w:p>
        </w:tc>
        <w:tc>
          <w:tcPr>
            <w:tcW w:w="317" w:type="pct"/>
            <w:noWrap/>
            <w:hideMark/>
          </w:tcPr>
          <w:p w14:paraId="57F83DDF"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3.50</w:t>
            </w:r>
          </w:p>
        </w:tc>
      </w:tr>
      <w:tr w:rsidR="00D11502" w14:paraId="7442BCDB" w14:textId="77777777" w:rsidTr="00F23B1D">
        <w:trPr>
          <w:trHeight w:val="281"/>
        </w:trPr>
        <w:tc>
          <w:tcPr>
            <w:cnfStyle w:val="001000000000" w:firstRow="0" w:lastRow="0" w:firstColumn="1" w:lastColumn="0" w:oddVBand="0" w:evenVBand="0" w:oddHBand="0" w:evenHBand="0" w:firstRowFirstColumn="0" w:firstRowLastColumn="0" w:lastRowFirstColumn="0" w:lastRowLastColumn="0"/>
            <w:tcW w:w="663" w:type="pct"/>
            <w:noWrap/>
            <w:hideMark/>
          </w:tcPr>
          <w:p w14:paraId="3754E435"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October 29, 2021</w:t>
            </w:r>
          </w:p>
        </w:tc>
        <w:tc>
          <w:tcPr>
            <w:tcW w:w="462" w:type="pct"/>
            <w:noWrap/>
            <w:hideMark/>
          </w:tcPr>
          <w:p w14:paraId="4EC3950D"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LCB310122</w:t>
            </w:r>
          </w:p>
        </w:tc>
        <w:tc>
          <w:tcPr>
            <w:tcW w:w="516" w:type="pct"/>
            <w:noWrap/>
            <w:hideMark/>
          </w:tcPr>
          <w:p w14:paraId="4039FEB8"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91 day T</w:t>
            </w:r>
            <w:r>
              <w:rPr>
                <w:rFonts w:eastAsia="Times New Roman" w:cs="Times New Roman"/>
                <w:b/>
                <w:bCs/>
                <w:color w:val="000000"/>
                <w:sz w:val="14"/>
                <w:szCs w:val="16"/>
                <w:lang w:eastAsia="en-029"/>
              </w:rPr>
              <w:t>-</w:t>
            </w:r>
            <w:r w:rsidRPr="00996869">
              <w:rPr>
                <w:rFonts w:eastAsia="Times New Roman" w:cs="Times New Roman"/>
                <w:b/>
                <w:bCs/>
                <w:color w:val="000000"/>
                <w:sz w:val="14"/>
                <w:szCs w:val="16"/>
                <w:lang w:eastAsia="en-029"/>
              </w:rPr>
              <w:t>bill</w:t>
            </w:r>
          </w:p>
        </w:tc>
        <w:tc>
          <w:tcPr>
            <w:tcW w:w="502" w:type="pct"/>
            <w:hideMark/>
          </w:tcPr>
          <w:p w14:paraId="0BEDC15F"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16,000,000.00</w:t>
            </w:r>
          </w:p>
        </w:tc>
        <w:tc>
          <w:tcPr>
            <w:tcW w:w="502" w:type="pct"/>
            <w:hideMark/>
          </w:tcPr>
          <w:p w14:paraId="3B201BE6"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15,560,000.00</w:t>
            </w:r>
          </w:p>
        </w:tc>
        <w:tc>
          <w:tcPr>
            <w:tcW w:w="502" w:type="pct"/>
            <w:hideMark/>
          </w:tcPr>
          <w:p w14:paraId="59DB1DD8"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15,560,000.00</w:t>
            </w:r>
          </w:p>
        </w:tc>
        <w:tc>
          <w:tcPr>
            <w:tcW w:w="548" w:type="pct"/>
            <w:noWrap/>
            <w:hideMark/>
          </w:tcPr>
          <w:p w14:paraId="4614D8C3"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(440,000.00)</w:t>
            </w:r>
          </w:p>
        </w:tc>
        <w:tc>
          <w:tcPr>
            <w:tcW w:w="340" w:type="pct"/>
            <w:noWrap/>
            <w:hideMark/>
          </w:tcPr>
          <w:p w14:paraId="28CC7CE5"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3.00</w:t>
            </w:r>
          </w:p>
        </w:tc>
        <w:tc>
          <w:tcPr>
            <w:tcW w:w="317" w:type="pct"/>
            <w:noWrap/>
            <w:hideMark/>
          </w:tcPr>
          <w:p w14:paraId="47E01EAE"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1.50</w:t>
            </w:r>
          </w:p>
        </w:tc>
        <w:tc>
          <w:tcPr>
            <w:tcW w:w="332" w:type="pct"/>
            <w:noWrap/>
            <w:hideMark/>
          </w:tcPr>
          <w:p w14:paraId="7C05C99B"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3.00</w:t>
            </w:r>
          </w:p>
        </w:tc>
        <w:tc>
          <w:tcPr>
            <w:tcW w:w="317" w:type="pct"/>
            <w:noWrap/>
            <w:hideMark/>
          </w:tcPr>
          <w:p w14:paraId="05143BB2"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3.00</w:t>
            </w:r>
          </w:p>
        </w:tc>
      </w:tr>
      <w:tr w:rsidR="00D11502" w14:paraId="3F936A37" w14:textId="77777777" w:rsidTr="00F23B1D">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663" w:type="pct"/>
            <w:noWrap/>
            <w:hideMark/>
          </w:tcPr>
          <w:p w14:paraId="3F54094E"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December 23, 2021</w:t>
            </w:r>
          </w:p>
        </w:tc>
        <w:tc>
          <w:tcPr>
            <w:tcW w:w="462" w:type="pct"/>
            <w:noWrap/>
            <w:hideMark/>
          </w:tcPr>
          <w:p w14:paraId="15F5D6F8"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FLG061227</w:t>
            </w:r>
          </w:p>
        </w:tc>
        <w:tc>
          <w:tcPr>
            <w:tcW w:w="516" w:type="pct"/>
            <w:noWrap/>
            <w:hideMark/>
          </w:tcPr>
          <w:p w14:paraId="1344B593"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6 year Bond</w:t>
            </w:r>
          </w:p>
        </w:tc>
        <w:tc>
          <w:tcPr>
            <w:tcW w:w="502" w:type="pct"/>
            <w:hideMark/>
          </w:tcPr>
          <w:p w14:paraId="4DF674D6"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18,900,000.00</w:t>
            </w:r>
          </w:p>
        </w:tc>
        <w:tc>
          <w:tcPr>
            <w:tcW w:w="502" w:type="pct"/>
            <w:hideMark/>
          </w:tcPr>
          <w:p w14:paraId="02ED0492"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24,310,800.00</w:t>
            </w:r>
          </w:p>
        </w:tc>
        <w:tc>
          <w:tcPr>
            <w:tcW w:w="502" w:type="pct"/>
            <w:hideMark/>
          </w:tcPr>
          <w:p w14:paraId="59D50BCF"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18,900,000.00</w:t>
            </w:r>
          </w:p>
        </w:tc>
        <w:tc>
          <w:tcPr>
            <w:tcW w:w="548" w:type="pct"/>
            <w:noWrap/>
            <w:hideMark/>
          </w:tcPr>
          <w:p w14:paraId="5D32FBEF"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5,410,800.00</w:t>
            </w:r>
          </w:p>
        </w:tc>
        <w:tc>
          <w:tcPr>
            <w:tcW w:w="340" w:type="pct"/>
            <w:noWrap/>
            <w:hideMark/>
          </w:tcPr>
          <w:p w14:paraId="07F7FAB6"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7.25</w:t>
            </w:r>
          </w:p>
        </w:tc>
        <w:tc>
          <w:tcPr>
            <w:tcW w:w="317" w:type="pct"/>
            <w:noWrap/>
            <w:hideMark/>
          </w:tcPr>
          <w:p w14:paraId="4F59C765"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4.50</w:t>
            </w:r>
          </w:p>
        </w:tc>
        <w:tc>
          <w:tcPr>
            <w:tcW w:w="332" w:type="pct"/>
            <w:noWrap/>
            <w:hideMark/>
          </w:tcPr>
          <w:p w14:paraId="42435F22"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7.25</w:t>
            </w:r>
          </w:p>
        </w:tc>
        <w:tc>
          <w:tcPr>
            <w:tcW w:w="317" w:type="pct"/>
            <w:noWrap/>
            <w:hideMark/>
          </w:tcPr>
          <w:p w14:paraId="2DA57558" w14:textId="77777777" w:rsidR="00996869" w:rsidRPr="00996869" w:rsidRDefault="00365B1B" w:rsidP="00BE266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7.25</w:t>
            </w:r>
          </w:p>
        </w:tc>
      </w:tr>
      <w:tr w:rsidR="00D11502" w14:paraId="4E5F31B6" w14:textId="77777777" w:rsidTr="00F23B1D">
        <w:trPr>
          <w:trHeight w:val="281"/>
        </w:trPr>
        <w:tc>
          <w:tcPr>
            <w:cnfStyle w:val="001000000000" w:firstRow="0" w:lastRow="0" w:firstColumn="1" w:lastColumn="0" w:oddVBand="0" w:evenVBand="0" w:oddHBand="0" w:evenHBand="0" w:firstRowFirstColumn="0" w:firstRowLastColumn="0" w:lastRowFirstColumn="0" w:lastRowLastColumn="0"/>
            <w:tcW w:w="663" w:type="pct"/>
            <w:noWrap/>
            <w:hideMark/>
          </w:tcPr>
          <w:p w14:paraId="155E9121" w14:textId="77777777" w:rsidR="00996869" w:rsidRPr="00996869" w:rsidRDefault="00365B1B" w:rsidP="00BE2667">
            <w:pPr>
              <w:jc w:val="center"/>
              <w:rPr>
                <w:rFonts w:eastAsia="Times New Roman" w:cs="Times New Roman"/>
                <w:color w:val="000000"/>
                <w:sz w:val="14"/>
                <w:szCs w:val="16"/>
                <w:lang w:eastAsia="en-029"/>
              </w:rPr>
            </w:pPr>
            <w:r w:rsidRPr="00996869">
              <w:rPr>
                <w:rFonts w:eastAsia="Times New Roman" w:cs="Times New Roman"/>
                <w:color w:val="000000"/>
                <w:sz w:val="14"/>
                <w:szCs w:val="16"/>
                <w:lang w:eastAsia="en-029"/>
              </w:rPr>
              <w:t>December 28, 2021</w:t>
            </w:r>
          </w:p>
        </w:tc>
        <w:tc>
          <w:tcPr>
            <w:tcW w:w="462" w:type="pct"/>
            <w:noWrap/>
            <w:hideMark/>
          </w:tcPr>
          <w:p w14:paraId="67F26DF6"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LCB270622</w:t>
            </w:r>
          </w:p>
        </w:tc>
        <w:tc>
          <w:tcPr>
            <w:tcW w:w="516" w:type="pct"/>
            <w:noWrap/>
            <w:hideMark/>
          </w:tcPr>
          <w:p w14:paraId="5A716170"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180 day T</w:t>
            </w:r>
            <w:r>
              <w:rPr>
                <w:rFonts w:eastAsia="Times New Roman" w:cs="Times New Roman"/>
                <w:b/>
                <w:bCs/>
                <w:color w:val="000000"/>
                <w:sz w:val="14"/>
                <w:szCs w:val="16"/>
                <w:lang w:eastAsia="en-029"/>
              </w:rPr>
              <w:t>-</w:t>
            </w:r>
            <w:r w:rsidRPr="00996869">
              <w:rPr>
                <w:rFonts w:eastAsia="Times New Roman" w:cs="Times New Roman"/>
                <w:b/>
                <w:bCs/>
                <w:color w:val="000000"/>
                <w:sz w:val="14"/>
                <w:szCs w:val="16"/>
                <w:lang w:eastAsia="en-029"/>
              </w:rPr>
              <w:t>bill</w:t>
            </w:r>
          </w:p>
        </w:tc>
        <w:tc>
          <w:tcPr>
            <w:tcW w:w="502" w:type="pct"/>
            <w:hideMark/>
          </w:tcPr>
          <w:p w14:paraId="4AB3F52E"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25,000,000.00</w:t>
            </w:r>
          </w:p>
        </w:tc>
        <w:tc>
          <w:tcPr>
            <w:tcW w:w="502" w:type="pct"/>
            <w:hideMark/>
          </w:tcPr>
          <w:p w14:paraId="74D1CA56"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21,148,000.00</w:t>
            </w:r>
          </w:p>
        </w:tc>
        <w:tc>
          <w:tcPr>
            <w:tcW w:w="502" w:type="pct"/>
            <w:hideMark/>
          </w:tcPr>
          <w:p w14:paraId="2F4C4346"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21,148,000.00</w:t>
            </w:r>
          </w:p>
        </w:tc>
        <w:tc>
          <w:tcPr>
            <w:tcW w:w="548" w:type="pct"/>
            <w:noWrap/>
            <w:hideMark/>
          </w:tcPr>
          <w:p w14:paraId="1BBD9BFD"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4"/>
                <w:szCs w:val="16"/>
                <w:lang w:eastAsia="en-029"/>
              </w:rPr>
            </w:pPr>
            <w:r w:rsidRPr="00996869">
              <w:rPr>
                <w:rFonts w:eastAsia="Times New Roman" w:cs="Times New Roman"/>
                <w:color w:val="000000"/>
                <w:sz w:val="14"/>
                <w:szCs w:val="16"/>
                <w:lang w:eastAsia="en-029"/>
              </w:rPr>
              <w:t>(3,852,000.00)</w:t>
            </w:r>
          </w:p>
        </w:tc>
        <w:tc>
          <w:tcPr>
            <w:tcW w:w="340" w:type="pct"/>
            <w:noWrap/>
            <w:hideMark/>
          </w:tcPr>
          <w:p w14:paraId="5415FE4B"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c>
          <w:tcPr>
            <w:tcW w:w="317" w:type="pct"/>
            <w:noWrap/>
            <w:hideMark/>
          </w:tcPr>
          <w:p w14:paraId="6AC964BA"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2.00</w:t>
            </w:r>
          </w:p>
        </w:tc>
        <w:tc>
          <w:tcPr>
            <w:tcW w:w="332" w:type="pct"/>
            <w:noWrap/>
            <w:hideMark/>
          </w:tcPr>
          <w:p w14:paraId="4B2A1979"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c>
          <w:tcPr>
            <w:tcW w:w="317" w:type="pct"/>
            <w:noWrap/>
            <w:hideMark/>
          </w:tcPr>
          <w:p w14:paraId="292011FF" w14:textId="77777777" w:rsidR="00996869" w:rsidRPr="00996869" w:rsidRDefault="00365B1B" w:rsidP="00BE266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4"/>
                <w:szCs w:val="16"/>
                <w:lang w:eastAsia="en-029"/>
              </w:rPr>
            </w:pPr>
            <w:r w:rsidRPr="00996869">
              <w:rPr>
                <w:rFonts w:eastAsia="Times New Roman" w:cs="Times New Roman"/>
                <w:b/>
                <w:bCs/>
                <w:color w:val="000000"/>
                <w:sz w:val="14"/>
                <w:szCs w:val="16"/>
                <w:lang w:eastAsia="en-029"/>
              </w:rPr>
              <w:t>4.00</w:t>
            </w:r>
          </w:p>
        </w:tc>
      </w:tr>
    </w:tbl>
    <w:p w14:paraId="3502F74C" w14:textId="77777777" w:rsidR="0010713C" w:rsidRDefault="00365B1B" w:rsidP="005F50C5">
      <w:r w:rsidRPr="0010713C">
        <w:t xml:space="preserve"> </w:t>
      </w:r>
    </w:p>
    <w:p w14:paraId="4DD5F2D4" w14:textId="77777777" w:rsidR="00F23B1D" w:rsidRDefault="00F23B1D" w:rsidP="005F50C5"/>
    <w:p w14:paraId="23D18F27" w14:textId="77777777" w:rsidR="00F23B1D" w:rsidRDefault="00F23B1D" w:rsidP="005F50C5"/>
    <w:p w14:paraId="396D805E" w14:textId="77777777" w:rsidR="00F23B1D" w:rsidRDefault="00F23B1D" w:rsidP="005F50C5"/>
    <w:p w14:paraId="38E26EA4" w14:textId="77777777" w:rsidR="00F23B1D" w:rsidRDefault="00F23B1D" w:rsidP="005F50C5"/>
    <w:p w14:paraId="61BB50E8" w14:textId="77777777" w:rsidR="00F23B1D" w:rsidRDefault="00F23B1D" w:rsidP="005F50C5"/>
    <w:p w14:paraId="6A1BD17C" w14:textId="77777777" w:rsidR="00F23B1D" w:rsidRDefault="00F23B1D" w:rsidP="005F50C5"/>
    <w:p w14:paraId="48406FE4" w14:textId="77777777" w:rsidR="00F23B1D" w:rsidRDefault="00F23B1D" w:rsidP="005F50C5"/>
    <w:p w14:paraId="6B11629B" w14:textId="77777777" w:rsidR="00F23B1D" w:rsidRDefault="00F23B1D" w:rsidP="005F50C5"/>
    <w:p w14:paraId="1500B9EA" w14:textId="77777777" w:rsidR="00F23B1D" w:rsidRDefault="00F23B1D" w:rsidP="005F50C5"/>
    <w:p w14:paraId="57E9052C" w14:textId="77777777" w:rsidR="00F23B1D" w:rsidRDefault="00F23B1D" w:rsidP="005F50C5"/>
    <w:p w14:paraId="2178478C" w14:textId="77777777" w:rsidR="00F23B1D" w:rsidRDefault="00F23B1D" w:rsidP="005F50C5"/>
    <w:p w14:paraId="1E5D822E" w14:textId="77777777" w:rsidR="00F23B1D" w:rsidRDefault="00F23B1D" w:rsidP="005F50C5"/>
    <w:p w14:paraId="0457DAA8" w14:textId="77777777" w:rsidR="00F23B1D" w:rsidRDefault="00F23B1D" w:rsidP="005F50C5"/>
    <w:p w14:paraId="396C1E7F" w14:textId="77777777" w:rsidR="00F23B1D" w:rsidRDefault="00F23B1D" w:rsidP="005F50C5"/>
    <w:p w14:paraId="4C974895" w14:textId="77777777" w:rsidR="00F23B1D" w:rsidRPr="0010713C" w:rsidRDefault="00F23B1D" w:rsidP="005F50C5"/>
    <w:p w14:paraId="62C853DE" w14:textId="77777777" w:rsidR="00191D34" w:rsidRPr="00191D34" w:rsidRDefault="00365B1B" w:rsidP="005F50C5">
      <w:bookmarkStart w:id="151" w:name="_Toc102560591"/>
      <w:r w:rsidRPr="00191D34">
        <w:t xml:space="preserve">Table </w:t>
      </w:r>
      <w:r w:rsidR="002E1637">
        <w:fldChar w:fldCharType="begin"/>
      </w:r>
      <w:r w:rsidR="002E1637">
        <w:instrText xml:space="preserve"> SEQ Table \* ARABIC </w:instrText>
      </w:r>
      <w:r w:rsidR="002E1637">
        <w:fldChar w:fldCharType="separate"/>
      </w:r>
      <w:r w:rsidR="00BC73C8">
        <w:rPr>
          <w:noProof/>
        </w:rPr>
        <w:t>5</w:t>
      </w:r>
      <w:r w:rsidR="002E1637">
        <w:rPr>
          <w:noProof/>
        </w:rPr>
        <w:fldChar w:fldCharType="end"/>
      </w:r>
      <w:r w:rsidRPr="00191D34">
        <w:t>: Debt Portfolio Key Indicators 2017-2021</w:t>
      </w:r>
      <w:bookmarkEnd w:id="151"/>
    </w:p>
    <w:tbl>
      <w:tblPr>
        <w:tblStyle w:val="GridTable4-Accent1"/>
        <w:tblW w:w="9439" w:type="dxa"/>
        <w:tblLook w:val="04A0" w:firstRow="1" w:lastRow="0" w:firstColumn="1" w:lastColumn="0" w:noHBand="0" w:noVBand="1"/>
      </w:tblPr>
      <w:tblGrid>
        <w:gridCol w:w="3147"/>
        <w:gridCol w:w="741"/>
        <w:gridCol w:w="741"/>
        <w:gridCol w:w="742"/>
        <w:gridCol w:w="742"/>
        <w:gridCol w:w="742"/>
        <w:gridCol w:w="1220"/>
        <w:gridCol w:w="1364"/>
      </w:tblGrid>
      <w:tr w:rsidR="00D11502" w14:paraId="38EC8FA8" w14:textId="77777777" w:rsidTr="00F23B1D">
        <w:trPr>
          <w:cnfStyle w:val="100000000000" w:firstRow="1" w:lastRow="0" w:firstColumn="0" w:lastColumn="0" w:oddVBand="0" w:evenVBand="0" w:oddHBand="0"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0" w:type="auto"/>
            <w:gridSpan w:val="8"/>
            <w:noWrap/>
            <w:hideMark/>
          </w:tcPr>
          <w:p w14:paraId="3A466063" w14:textId="77777777" w:rsidR="00003F03" w:rsidRPr="008661F6" w:rsidRDefault="00003F03" w:rsidP="00003F03">
            <w:pPr>
              <w:jc w:val="center"/>
              <w:rPr>
                <w:rFonts w:eastAsia="Times New Roman" w:cs="Times New Roman"/>
                <w:color w:val="000000"/>
                <w:sz w:val="12"/>
                <w:szCs w:val="16"/>
                <w:lang w:eastAsia="en-029"/>
              </w:rPr>
            </w:pPr>
          </w:p>
        </w:tc>
      </w:tr>
      <w:tr w:rsidR="00D11502" w14:paraId="17926AE3" w14:textId="77777777" w:rsidTr="00F23B1D">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0" w:type="auto"/>
            <w:noWrap/>
            <w:hideMark/>
          </w:tcPr>
          <w:p w14:paraId="664FE3C4"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color w:val="000000"/>
                <w:sz w:val="12"/>
                <w:szCs w:val="16"/>
                <w:lang w:eastAsia="en-029"/>
              </w:rPr>
              <w:t>Particulars</w:t>
            </w:r>
          </w:p>
        </w:tc>
        <w:tc>
          <w:tcPr>
            <w:tcW w:w="0" w:type="auto"/>
            <w:hideMark/>
          </w:tcPr>
          <w:p w14:paraId="21E1B7D6"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2017</w:t>
            </w:r>
          </w:p>
        </w:tc>
        <w:tc>
          <w:tcPr>
            <w:tcW w:w="0" w:type="auto"/>
            <w:hideMark/>
          </w:tcPr>
          <w:p w14:paraId="6B565A37"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2018</w:t>
            </w:r>
          </w:p>
        </w:tc>
        <w:tc>
          <w:tcPr>
            <w:tcW w:w="0" w:type="auto"/>
            <w:hideMark/>
          </w:tcPr>
          <w:p w14:paraId="6ACFE923"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2019</w:t>
            </w:r>
          </w:p>
        </w:tc>
        <w:tc>
          <w:tcPr>
            <w:tcW w:w="0" w:type="auto"/>
            <w:hideMark/>
          </w:tcPr>
          <w:p w14:paraId="452FD8FA"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2020</w:t>
            </w:r>
          </w:p>
        </w:tc>
        <w:tc>
          <w:tcPr>
            <w:tcW w:w="0" w:type="auto"/>
            <w:hideMark/>
          </w:tcPr>
          <w:p w14:paraId="57A3D300"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2021</w:t>
            </w:r>
          </w:p>
        </w:tc>
        <w:tc>
          <w:tcPr>
            <w:tcW w:w="0" w:type="auto"/>
            <w:hideMark/>
          </w:tcPr>
          <w:p w14:paraId="42E27B38"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 of Total Debt</w:t>
            </w:r>
          </w:p>
        </w:tc>
        <w:tc>
          <w:tcPr>
            <w:tcW w:w="0" w:type="auto"/>
            <w:hideMark/>
          </w:tcPr>
          <w:p w14:paraId="059DF37B"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Annual Change %</w:t>
            </w:r>
          </w:p>
        </w:tc>
      </w:tr>
      <w:tr w:rsidR="00D11502" w14:paraId="5F9AB4D5" w14:textId="77777777" w:rsidTr="00F23B1D">
        <w:trPr>
          <w:trHeight w:val="222"/>
        </w:trPr>
        <w:tc>
          <w:tcPr>
            <w:cnfStyle w:val="001000000000" w:firstRow="0" w:lastRow="0" w:firstColumn="1" w:lastColumn="0" w:oddVBand="0" w:evenVBand="0" w:oddHBand="0" w:evenHBand="0" w:firstRowFirstColumn="0" w:firstRowLastColumn="0" w:lastRowFirstColumn="0" w:lastRowLastColumn="0"/>
            <w:tcW w:w="0" w:type="auto"/>
            <w:hideMark/>
          </w:tcPr>
          <w:p w14:paraId="671B3897"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color w:val="000000"/>
                <w:sz w:val="12"/>
                <w:szCs w:val="16"/>
                <w:lang w:eastAsia="en-029"/>
              </w:rPr>
              <w:t>Total Public Debt by Residency (XCD)</w:t>
            </w:r>
          </w:p>
        </w:tc>
        <w:tc>
          <w:tcPr>
            <w:tcW w:w="0" w:type="auto"/>
            <w:noWrap/>
            <w:hideMark/>
          </w:tcPr>
          <w:p w14:paraId="1A56E68E"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3,177.28</w:t>
            </w:r>
          </w:p>
        </w:tc>
        <w:tc>
          <w:tcPr>
            <w:tcW w:w="0" w:type="auto"/>
            <w:noWrap/>
            <w:hideMark/>
          </w:tcPr>
          <w:p w14:paraId="12D78611"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3,306.33</w:t>
            </w:r>
          </w:p>
        </w:tc>
        <w:tc>
          <w:tcPr>
            <w:tcW w:w="0" w:type="auto"/>
            <w:noWrap/>
            <w:hideMark/>
          </w:tcPr>
          <w:p w14:paraId="713F01A8"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3,417.40</w:t>
            </w:r>
          </w:p>
        </w:tc>
        <w:tc>
          <w:tcPr>
            <w:tcW w:w="0" w:type="auto"/>
            <w:noWrap/>
            <w:hideMark/>
          </w:tcPr>
          <w:p w14:paraId="192F6ED0"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3,773.80</w:t>
            </w:r>
          </w:p>
        </w:tc>
        <w:tc>
          <w:tcPr>
            <w:tcW w:w="0" w:type="auto"/>
            <w:noWrap/>
            <w:hideMark/>
          </w:tcPr>
          <w:p w14:paraId="4BBAE0E0"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4,135.43</w:t>
            </w:r>
          </w:p>
        </w:tc>
        <w:tc>
          <w:tcPr>
            <w:tcW w:w="0" w:type="auto"/>
            <w:noWrap/>
            <w:hideMark/>
          </w:tcPr>
          <w:p w14:paraId="5B51DDDF"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100.0%</w:t>
            </w:r>
          </w:p>
        </w:tc>
        <w:tc>
          <w:tcPr>
            <w:tcW w:w="0" w:type="auto"/>
            <w:noWrap/>
            <w:hideMark/>
          </w:tcPr>
          <w:p w14:paraId="6EB98E73"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9.58</w:t>
            </w:r>
          </w:p>
        </w:tc>
      </w:tr>
      <w:tr w:rsidR="00D11502" w14:paraId="622BDAC4"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4D182E50"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External Debt</w:t>
            </w:r>
          </w:p>
        </w:tc>
        <w:tc>
          <w:tcPr>
            <w:tcW w:w="0" w:type="auto"/>
            <w:noWrap/>
            <w:hideMark/>
          </w:tcPr>
          <w:p w14:paraId="33B59239"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1,633.34</w:t>
            </w:r>
          </w:p>
        </w:tc>
        <w:tc>
          <w:tcPr>
            <w:tcW w:w="0" w:type="auto"/>
            <w:noWrap/>
            <w:hideMark/>
          </w:tcPr>
          <w:p w14:paraId="57B76268"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1,617.60</w:t>
            </w:r>
          </w:p>
        </w:tc>
        <w:tc>
          <w:tcPr>
            <w:tcW w:w="0" w:type="auto"/>
            <w:noWrap/>
            <w:hideMark/>
          </w:tcPr>
          <w:p w14:paraId="3147177C"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1,689.68</w:t>
            </w:r>
          </w:p>
        </w:tc>
        <w:tc>
          <w:tcPr>
            <w:tcW w:w="0" w:type="auto"/>
            <w:noWrap/>
            <w:hideMark/>
          </w:tcPr>
          <w:p w14:paraId="0F5CB283"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1,947.24</w:t>
            </w:r>
          </w:p>
        </w:tc>
        <w:tc>
          <w:tcPr>
            <w:tcW w:w="0" w:type="auto"/>
            <w:noWrap/>
            <w:hideMark/>
          </w:tcPr>
          <w:p w14:paraId="7239037C"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2,290.24</w:t>
            </w:r>
          </w:p>
        </w:tc>
        <w:tc>
          <w:tcPr>
            <w:tcW w:w="0" w:type="auto"/>
            <w:noWrap/>
            <w:hideMark/>
          </w:tcPr>
          <w:p w14:paraId="10479938"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55.4%</w:t>
            </w:r>
          </w:p>
        </w:tc>
        <w:tc>
          <w:tcPr>
            <w:tcW w:w="0" w:type="auto"/>
            <w:noWrap/>
            <w:hideMark/>
          </w:tcPr>
          <w:p w14:paraId="25CDC5D9"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17.61</w:t>
            </w:r>
          </w:p>
        </w:tc>
      </w:tr>
      <w:tr w:rsidR="00D11502" w14:paraId="78B8A304"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47746F3D"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Domestic Debt</w:t>
            </w:r>
          </w:p>
        </w:tc>
        <w:tc>
          <w:tcPr>
            <w:tcW w:w="0" w:type="auto"/>
            <w:noWrap/>
            <w:hideMark/>
          </w:tcPr>
          <w:p w14:paraId="58DC4F6D"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1,543.94</w:t>
            </w:r>
          </w:p>
        </w:tc>
        <w:tc>
          <w:tcPr>
            <w:tcW w:w="0" w:type="auto"/>
            <w:noWrap/>
            <w:hideMark/>
          </w:tcPr>
          <w:p w14:paraId="16DFE164"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1,688.73</w:t>
            </w:r>
          </w:p>
        </w:tc>
        <w:tc>
          <w:tcPr>
            <w:tcW w:w="0" w:type="auto"/>
            <w:noWrap/>
            <w:hideMark/>
          </w:tcPr>
          <w:p w14:paraId="25D6762C"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1,727.72</w:t>
            </w:r>
          </w:p>
        </w:tc>
        <w:tc>
          <w:tcPr>
            <w:tcW w:w="0" w:type="auto"/>
            <w:noWrap/>
            <w:hideMark/>
          </w:tcPr>
          <w:p w14:paraId="2F803C58"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1,826.56</w:t>
            </w:r>
          </w:p>
        </w:tc>
        <w:tc>
          <w:tcPr>
            <w:tcW w:w="0" w:type="auto"/>
            <w:noWrap/>
            <w:hideMark/>
          </w:tcPr>
          <w:p w14:paraId="6597C4F2"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1,845.19</w:t>
            </w:r>
          </w:p>
        </w:tc>
        <w:tc>
          <w:tcPr>
            <w:tcW w:w="0" w:type="auto"/>
            <w:noWrap/>
            <w:hideMark/>
          </w:tcPr>
          <w:p w14:paraId="0A6B74F9"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44.6%</w:t>
            </w:r>
          </w:p>
        </w:tc>
        <w:tc>
          <w:tcPr>
            <w:tcW w:w="0" w:type="auto"/>
            <w:noWrap/>
            <w:hideMark/>
          </w:tcPr>
          <w:p w14:paraId="57732E00"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1.02</w:t>
            </w:r>
          </w:p>
        </w:tc>
      </w:tr>
      <w:tr w:rsidR="00D11502" w14:paraId="0453761A"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5E52DBAB"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color w:val="000000"/>
                <w:sz w:val="12"/>
                <w:szCs w:val="16"/>
                <w:lang w:eastAsia="en-029"/>
              </w:rPr>
              <w:t>Total Domestic Debt by Instrument (XCD)</w:t>
            </w:r>
          </w:p>
        </w:tc>
        <w:tc>
          <w:tcPr>
            <w:tcW w:w="0" w:type="auto"/>
            <w:noWrap/>
            <w:hideMark/>
          </w:tcPr>
          <w:p w14:paraId="2BC21BD8"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1,543.94</w:t>
            </w:r>
          </w:p>
        </w:tc>
        <w:tc>
          <w:tcPr>
            <w:tcW w:w="0" w:type="auto"/>
            <w:noWrap/>
            <w:hideMark/>
          </w:tcPr>
          <w:p w14:paraId="50B2F673"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1,688.73</w:t>
            </w:r>
          </w:p>
        </w:tc>
        <w:tc>
          <w:tcPr>
            <w:tcW w:w="0" w:type="auto"/>
            <w:noWrap/>
            <w:hideMark/>
          </w:tcPr>
          <w:p w14:paraId="7CA57077"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1,727.90</w:t>
            </w:r>
          </w:p>
        </w:tc>
        <w:tc>
          <w:tcPr>
            <w:tcW w:w="0" w:type="auto"/>
            <w:noWrap/>
            <w:hideMark/>
          </w:tcPr>
          <w:p w14:paraId="71D88B80"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1,826.57</w:t>
            </w:r>
          </w:p>
        </w:tc>
        <w:tc>
          <w:tcPr>
            <w:tcW w:w="0" w:type="auto"/>
            <w:noWrap/>
            <w:hideMark/>
          </w:tcPr>
          <w:p w14:paraId="1B6C9A86"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1,845.19</w:t>
            </w:r>
          </w:p>
        </w:tc>
        <w:tc>
          <w:tcPr>
            <w:tcW w:w="0" w:type="auto"/>
            <w:noWrap/>
            <w:hideMark/>
          </w:tcPr>
          <w:p w14:paraId="3070C53F"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44.6%</w:t>
            </w:r>
          </w:p>
        </w:tc>
        <w:tc>
          <w:tcPr>
            <w:tcW w:w="0" w:type="auto"/>
            <w:noWrap/>
            <w:hideMark/>
          </w:tcPr>
          <w:p w14:paraId="714BCF0F"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1.02</w:t>
            </w:r>
          </w:p>
        </w:tc>
      </w:tr>
      <w:tr w:rsidR="00D11502" w14:paraId="49403629"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10E67C78"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Loans</w:t>
            </w:r>
          </w:p>
        </w:tc>
        <w:tc>
          <w:tcPr>
            <w:tcW w:w="0" w:type="auto"/>
            <w:noWrap/>
            <w:hideMark/>
          </w:tcPr>
          <w:p w14:paraId="7541C3D5"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375.32</w:t>
            </w:r>
          </w:p>
        </w:tc>
        <w:tc>
          <w:tcPr>
            <w:tcW w:w="0" w:type="auto"/>
            <w:noWrap/>
            <w:hideMark/>
          </w:tcPr>
          <w:p w14:paraId="7702C414"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407.84</w:t>
            </w:r>
          </w:p>
        </w:tc>
        <w:tc>
          <w:tcPr>
            <w:tcW w:w="0" w:type="auto"/>
            <w:noWrap/>
            <w:hideMark/>
          </w:tcPr>
          <w:p w14:paraId="40291D4A"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363.94</w:t>
            </w:r>
          </w:p>
        </w:tc>
        <w:tc>
          <w:tcPr>
            <w:tcW w:w="0" w:type="auto"/>
            <w:noWrap/>
            <w:hideMark/>
          </w:tcPr>
          <w:p w14:paraId="04557AA0"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367.27</w:t>
            </w:r>
          </w:p>
        </w:tc>
        <w:tc>
          <w:tcPr>
            <w:tcW w:w="0" w:type="auto"/>
            <w:noWrap/>
            <w:hideMark/>
          </w:tcPr>
          <w:p w14:paraId="5E4DFE53"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354.13</w:t>
            </w:r>
          </w:p>
        </w:tc>
        <w:tc>
          <w:tcPr>
            <w:tcW w:w="0" w:type="auto"/>
            <w:noWrap/>
            <w:hideMark/>
          </w:tcPr>
          <w:p w14:paraId="7122AAD0"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8.6%</w:t>
            </w:r>
          </w:p>
        </w:tc>
        <w:tc>
          <w:tcPr>
            <w:tcW w:w="0" w:type="auto"/>
            <w:noWrap/>
            <w:hideMark/>
          </w:tcPr>
          <w:p w14:paraId="59FFE6A5"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-3.58</w:t>
            </w:r>
          </w:p>
        </w:tc>
      </w:tr>
      <w:tr w:rsidR="00D11502" w14:paraId="5FE53E88"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3F6AA427"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Bonds</w:t>
            </w:r>
          </w:p>
        </w:tc>
        <w:tc>
          <w:tcPr>
            <w:tcW w:w="0" w:type="auto"/>
            <w:noWrap/>
            <w:hideMark/>
          </w:tcPr>
          <w:p w14:paraId="79283D2A"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739.62</w:t>
            </w:r>
          </w:p>
        </w:tc>
        <w:tc>
          <w:tcPr>
            <w:tcW w:w="0" w:type="auto"/>
            <w:noWrap/>
            <w:hideMark/>
          </w:tcPr>
          <w:p w14:paraId="17BF5BA9"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833.12</w:t>
            </w:r>
          </w:p>
        </w:tc>
        <w:tc>
          <w:tcPr>
            <w:tcW w:w="0" w:type="auto"/>
            <w:noWrap/>
            <w:hideMark/>
          </w:tcPr>
          <w:p w14:paraId="232C2F59"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864.63</w:t>
            </w:r>
          </w:p>
        </w:tc>
        <w:tc>
          <w:tcPr>
            <w:tcW w:w="0" w:type="auto"/>
            <w:noWrap/>
            <w:hideMark/>
          </w:tcPr>
          <w:p w14:paraId="712131B6"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973.10</w:t>
            </w:r>
          </w:p>
        </w:tc>
        <w:tc>
          <w:tcPr>
            <w:tcW w:w="0" w:type="auto"/>
            <w:noWrap/>
            <w:hideMark/>
          </w:tcPr>
          <w:p w14:paraId="217CFECB"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971.33</w:t>
            </w:r>
          </w:p>
        </w:tc>
        <w:tc>
          <w:tcPr>
            <w:tcW w:w="0" w:type="auto"/>
            <w:noWrap/>
            <w:hideMark/>
          </w:tcPr>
          <w:p w14:paraId="534765F8"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23.5%</w:t>
            </w:r>
          </w:p>
        </w:tc>
        <w:tc>
          <w:tcPr>
            <w:tcW w:w="0" w:type="auto"/>
            <w:noWrap/>
            <w:hideMark/>
          </w:tcPr>
          <w:p w14:paraId="751FCC15"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-0.18</w:t>
            </w:r>
          </w:p>
        </w:tc>
      </w:tr>
      <w:tr w:rsidR="00D11502" w14:paraId="330DE19C"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789CDFD0"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Notes</w:t>
            </w:r>
          </w:p>
        </w:tc>
        <w:tc>
          <w:tcPr>
            <w:tcW w:w="0" w:type="auto"/>
            <w:noWrap/>
            <w:hideMark/>
          </w:tcPr>
          <w:p w14:paraId="35432ACB"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212.02</w:t>
            </w:r>
          </w:p>
        </w:tc>
        <w:tc>
          <w:tcPr>
            <w:tcW w:w="0" w:type="auto"/>
            <w:noWrap/>
            <w:hideMark/>
          </w:tcPr>
          <w:p w14:paraId="6CCD8DE0"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331.40</w:t>
            </w:r>
          </w:p>
        </w:tc>
        <w:tc>
          <w:tcPr>
            <w:tcW w:w="0" w:type="auto"/>
            <w:noWrap/>
            <w:hideMark/>
          </w:tcPr>
          <w:p w14:paraId="24C8CC4D"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357.95</w:t>
            </w:r>
          </w:p>
        </w:tc>
        <w:tc>
          <w:tcPr>
            <w:tcW w:w="0" w:type="auto"/>
            <w:noWrap/>
            <w:hideMark/>
          </w:tcPr>
          <w:p w14:paraId="46527E9D"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365.63</w:t>
            </w:r>
          </w:p>
        </w:tc>
        <w:tc>
          <w:tcPr>
            <w:tcW w:w="0" w:type="auto"/>
            <w:noWrap/>
            <w:hideMark/>
          </w:tcPr>
          <w:p w14:paraId="65D0224D"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402.87</w:t>
            </w:r>
          </w:p>
        </w:tc>
        <w:tc>
          <w:tcPr>
            <w:tcW w:w="0" w:type="auto"/>
            <w:noWrap/>
            <w:hideMark/>
          </w:tcPr>
          <w:p w14:paraId="7CC0D8EF"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9.7%</w:t>
            </w:r>
          </w:p>
        </w:tc>
        <w:tc>
          <w:tcPr>
            <w:tcW w:w="0" w:type="auto"/>
            <w:noWrap/>
            <w:hideMark/>
          </w:tcPr>
          <w:p w14:paraId="0D4F376C"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10.18</w:t>
            </w:r>
          </w:p>
        </w:tc>
      </w:tr>
      <w:tr w:rsidR="00D11502" w14:paraId="63C59927"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3694DA11"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Treasury Bills</w:t>
            </w:r>
          </w:p>
        </w:tc>
        <w:tc>
          <w:tcPr>
            <w:tcW w:w="0" w:type="auto"/>
            <w:noWrap/>
            <w:hideMark/>
          </w:tcPr>
          <w:p w14:paraId="077E8117"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216.98</w:t>
            </w:r>
          </w:p>
        </w:tc>
        <w:tc>
          <w:tcPr>
            <w:tcW w:w="0" w:type="auto"/>
            <w:noWrap/>
            <w:hideMark/>
          </w:tcPr>
          <w:p w14:paraId="1B2B0AB4"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116.37</w:t>
            </w:r>
          </w:p>
        </w:tc>
        <w:tc>
          <w:tcPr>
            <w:tcW w:w="0" w:type="auto"/>
            <w:noWrap/>
            <w:hideMark/>
          </w:tcPr>
          <w:p w14:paraId="5D464978"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141.38</w:t>
            </w:r>
          </w:p>
        </w:tc>
        <w:tc>
          <w:tcPr>
            <w:tcW w:w="0" w:type="auto"/>
            <w:noWrap/>
            <w:hideMark/>
          </w:tcPr>
          <w:p w14:paraId="6C7D75A1"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120.56</w:t>
            </w:r>
          </w:p>
        </w:tc>
        <w:tc>
          <w:tcPr>
            <w:tcW w:w="0" w:type="auto"/>
            <w:noWrap/>
            <w:hideMark/>
          </w:tcPr>
          <w:p w14:paraId="2416970E"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116.85</w:t>
            </w:r>
          </w:p>
        </w:tc>
        <w:tc>
          <w:tcPr>
            <w:tcW w:w="0" w:type="auto"/>
            <w:noWrap/>
            <w:hideMark/>
          </w:tcPr>
          <w:p w14:paraId="11ADA76A"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2.8%</w:t>
            </w:r>
          </w:p>
        </w:tc>
        <w:tc>
          <w:tcPr>
            <w:tcW w:w="0" w:type="auto"/>
            <w:noWrap/>
            <w:hideMark/>
          </w:tcPr>
          <w:p w14:paraId="4DFC513E"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-3.08</w:t>
            </w:r>
          </w:p>
        </w:tc>
      </w:tr>
      <w:tr w:rsidR="00D11502" w14:paraId="3EEF9887"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2E916102"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color w:val="000000"/>
                <w:sz w:val="12"/>
                <w:szCs w:val="16"/>
                <w:lang w:eastAsia="en-029"/>
              </w:rPr>
              <w:t>Total External Debt by Instrument (XCD)</w:t>
            </w:r>
          </w:p>
        </w:tc>
        <w:tc>
          <w:tcPr>
            <w:tcW w:w="0" w:type="auto"/>
            <w:noWrap/>
            <w:hideMark/>
          </w:tcPr>
          <w:p w14:paraId="1A435C86"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1,633.35</w:t>
            </w:r>
          </w:p>
        </w:tc>
        <w:tc>
          <w:tcPr>
            <w:tcW w:w="0" w:type="auto"/>
            <w:noWrap/>
            <w:hideMark/>
          </w:tcPr>
          <w:p w14:paraId="25414F82"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1,617.60</w:t>
            </w:r>
          </w:p>
        </w:tc>
        <w:tc>
          <w:tcPr>
            <w:tcW w:w="0" w:type="auto"/>
            <w:noWrap/>
            <w:hideMark/>
          </w:tcPr>
          <w:p w14:paraId="5593E500"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1,689.65</w:t>
            </w:r>
          </w:p>
        </w:tc>
        <w:tc>
          <w:tcPr>
            <w:tcW w:w="0" w:type="auto"/>
            <w:noWrap/>
            <w:hideMark/>
          </w:tcPr>
          <w:p w14:paraId="25C50260"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1,947.24</w:t>
            </w:r>
          </w:p>
        </w:tc>
        <w:tc>
          <w:tcPr>
            <w:tcW w:w="0" w:type="auto"/>
            <w:noWrap/>
            <w:hideMark/>
          </w:tcPr>
          <w:p w14:paraId="11F8DA65"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2,290.24</w:t>
            </w:r>
          </w:p>
        </w:tc>
        <w:tc>
          <w:tcPr>
            <w:tcW w:w="0" w:type="auto"/>
            <w:noWrap/>
            <w:hideMark/>
          </w:tcPr>
          <w:p w14:paraId="12DF0D0A"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55.4%</w:t>
            </w:r>
          </w:p>
        </w:tc>
        <w:tc>
          <w:tcPr>
            <w:tcW w:w="0" w:type="auto"/>
            <w:noWrap/>
            <w:hideMark/>
          </w:tcPr>
          <w:p w14:paraId="120402E4"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17.61</w:t>
            </w:r>
          </w:p>
        </w:tc>
      </w:tr>
      <w:tr w:rsidR="00D11502" w14:paraId="4B856721"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08BB59A0"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Loans</w:t>
            </w:r>
          </w:p>
        </w:tc>
        <w:tc>
          <w:tcPr>
            <w:tcW w:w="0" w:type="auto"/>
            <w:noWrap/>
            <w:hideMark/>
          </w:tcPr>
          <w:p w14:paraId="1669F5CA"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714.18</w:t>
            </w:r>
          </w:p>
        </w:tc>
        <w:tc>
          <w:tcPr>
            <w:tcW w:w="0" w:type="auto"/>
            <w:noWrap/>
            <w:hideMark/>
          </w:tcPr>
          <w:p w14:paraId="7A0715BB"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677.87</w:t>
            </w:r>
          </w:p>
        </w:tc>
        <w:tc>
          <w:tcPr>
            <w:tcW w:w="0" w:type="auto"/>
            <w:noWrap/>
            <w:hideMark/>
          </w:tcPr>
          <w:p w14:paraId="7CD98E7B"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754.10</w:t>
            </w:r>
          </w:p>
        </w:tc>
        <w:tc>
          <w:tcPr>
            <w:tcW w:w="0" w:type="auto"/>
            <w:noWrap/>
            <w:hideMark/>
          </w:tcPr>
          <w:p w14:paraId="413C0616"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1,055.59</w:t>
            </w:r>
          </w:p>
        </w:tc>
        <w:tc>
          <w:tcPr>
            <w:tcW w:w="0" w:type="auto"/>
            <w:noWrap/>
            <w:hideMark/>
          </w:tcPr>
          <w:p w14:paraId="36C24825"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1,384.07</w:t>
            </w:r>
          </w:p>
        </w:tc>
        <w:tc>
          <w:tcPr>
            <w:tcW w:w="0" w:type="auto"/>
            <w:noWrap/>
            <w:hideMark/>
          </w:tcPr>
          <w:p w14:paraId="56567839"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33.5%</w:t>
            </w:r>
          </w:p>
        </w:tc>
        <w:tc>
          <w:tcPr>
            <w:tcW w:w="0" w:type="auto"/>
            <w:noWrap/>
            <w:hideMark/>
          </w:tcPr>
          <w:p w14:paraId="4E4F192B"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31.12</w:t>
            </w:r>
          </w:p>
        </w:tc>
      </w:tr>
      <w:tr w:rsidR="00D11502" w14:paraId="570D6889"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57D23507"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Bonds</w:t>
            </w:r>
          </w:p>
        </w:tc>
        <w:tc>
          <w:tcPr>
            <w:tcW w:w="0" w:type="auto"/>
            <w:noWrap/>
            <w:hideMark/>
          </w:tcPr>
          <w:p w14:paraId="364937CB"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432.85</w:t>
            </w:r>
          </w:p>
        </w:tc>
        <w:tc>
          <w:tcPr>
            <w:tcW w:w="0" w:type="auto"/>
            <w:noWrap/>
            <w:hideMark/>
          </w:tcPr>
          <w:p w14:paraId="31EE2FF4"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405.34</w:t>
            </w:r>
          </w:p>
        </w:tc>
        <w:tc>
          <w:tcPr>
            <w:tcW w:w="0" w:type="auto"/>
            <w:noWrap/>
            <w:hideMark/>
          </w:tcPr>
          <w:p w14:paraId="19B268E1"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415.49</w:t>
            </w:r>
          </w:p>
        </w:tc>
        <w:tc>
          <w:tcPr>
            <w:tcW w:w="0" w:type="auto"/>
            <w:noWrap/>
            <w:hideMark/>
          </w:tcPr>
          <w:p w14:paraId="6C6E2CEB"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410.48</w:t>
            </w:r>
          </w:p>
        </w:tc>
        <w:tc>
          <w:tcPr>
            <w:tcW w:w="0" w:type="auto"/>
            <w:noWrap/>
            <w:hideMark/>
          </w:tcPr>
          <w:p w14:paraId="59BE2184"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403.14</w:t>
            </w:r>
          </w:p>
        </w:tc>
        <w:tc>
          <w:tcPr>
            <w:tcW w:w="0" w:type="auto"/>
            <w:noWrap/>
            <w:hideMark/>
          </w:tcPr>
          <w:p w14:paraId="6E189F64"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9.7%</w:t>
            </w:r>
          </w:p>
        </w:tc>
        <w:tc>
          <w:tcPr>
            <w:tcW w:w="0" w:type="auto"/>
            <w:noWrap/>
            <w:hideMark/>
          </w:tcPr>
          <w:p w14:paraId="41A7A262"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-1.79</w:t>
            </w:r>
          </w:p>
        </w:tc>
      </w:tr>
      <w:tr w:rsidR="00D11502" w14:paraId="2CB04B2E"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38702EEE"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Notes</w:t>
            </w:r>
          </w:p>
        </w:tc>
        <w:tc>
          <w:tcPr>
            <w:tcW w:w="0" w:type="auto"/>
            <w:noWrap/>
            <w:hideMark/>
          </w:tcPr>
          <w:p w14:paraId="42C52E29"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206.00</w:t>
            </w:r>
          </w:p>
        </w:tc>
        <w:tc>
          <w:tcPr>
            <w:tcW w:w="0" w:type="auto"/>
            <w:noWrap/>
            <w:hideMark/>
          </w:tcPr>
          <w:p w14:paraId="2188C299"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288.38</w:t>
            </w:r>
          </w:p>
        </w:tc>
        <w:tc>
          <w:tcPr>
            <w:tcW w:w="0" w:type="auto"/>
            <w:noWrap/>
            <w:hideMark/>
          </w:tcPr>
          <w:p w14:paraId="169E2A0C"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317.65</w:t>
            </w:r>
          </w:p>
        </w:tc>
        <w:tc>
          <w:tcPr>
            <w:tcW w:w="0" w:type="auto"/>
            <w:noWrap/>
            <w:hideMark/>
          </w:tcPr>
          <w:p w14:paraId="4CBFC641"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270.98</w:t>
            </w:r>
          </w:p>
        </w:tc>
        <w:tc>
          <w:tcPr>
            <w:tcW w:w="0" w:type="auto"/>
            <w:noWrap/>
            <w:hideMark/>
          </w:tcPr>
          <w:p w14:paraId="742598C8"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254.48</w:t>
            </w:r>
          </w:p>
        </w:tc>
        <w:tc>
          <w:tcPr>
            <w:tcW w:w="0" w:type="auto"/>
            <w:noWrap/>
            <w:hideMark/>
          </w:tcPr>
          <w:p w14:paraId="61632372"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6.2%</w:t>
            </w:r>
          </w:p>
        </w:tc>
        <w:tc>
          <w:tcPr>
            <w:tcW w:w="0" w:type="auto"/>
            <w:noWrap/>
            <w:hideMark/>
          </w:tcPr>
          <w:p w14:paraId="3353B0BF"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-6.09</w:t>
            </w:r>
          </w:p>
        </w:tc>
      </w:tr>
      <w:tr w:rsidR="00D11502" w14:paraId="411117A2"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0240FB9B"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Treasury Bills</w:t>
            </w:r>
          </w:p>
        </w:tc>
        <w:tc>
          <w:tcPr>
            <w:tcW w:w="0" w:type="auto"/>
            <w:noWrap/>
            <w:hideMark/>
          </w:tcPr>
          <w:p w14:paraId="12011F43"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280.32</w:t>
            </w:r>
          </w:p>
        </w:tc>
        <w:tc>
          <w:tcPr>
            <w:tcW w:w="0" w:type="auto"/>
            <w:noWrap/>
            <w:hideMark/>
          </w:tcPr>
          <w:p w14:paraId="5018F86D"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246.00</w:t>
            </w:r>
          </w:p>
        </w:tc>
        <w:tc>
          <w:tcPr>
            <w:tcW w:w="0" w:type="auto"/>
            <w:noWrap/>
            <w:hideMark/>
          </w:tcPr>
          <w:p w14:paraId="68FF4915"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202.40</w:t>
            </w:r>
          </w:p>
        </w:tc>
        <w:tc>
          <w:tcPr>
            <w:tcW w:w="0" w:type="auto"/>
            <w:noWrap/>
            <w:hideMark/>
          </w:tcPr>
          <w:p w14:paraId="24A3A284"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210.19</w:t>
            </w:r>
          </w:p>
        </w:tc>
        <w:tc>
          <w:tcPr>
            <w:tcW w:w="0" w:type="auto"/>
            <w:noWrap/>
            <w:hideMark/>
          </w:tcPr>
          <w:p w14:paraId="349E6D68"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248.54</w:t>
            </w:r>
          </w:p>
        </w:tc>
        <w:tc>
          <w:tcPr>
            <w:tcW w:w="0" w:type="auto"/>
            <w:noWrap/>
            <w:hideMark/>
          </w:tcPr>
          <w:p w14:paraId="3CD80540"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6.0%</w:t>
            </w:r>
          </w:p>
        </w:tc>
        <w:tc>
          <w:tcPr>
            <w:tcW w:w="0" w:type="auto"/>
            <w:noWrap/>
            <w:hideMark/>
          </w:tcPr>
          <w:p w14:paraId="464E3341"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18.25</w:t>
            </w:r>
          </w:p>
        </w:tc>
      </w:tr>
      <w:tr w:rsidR="00D11502" w14:paraId="586C43EC"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47C48595"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color w:val="000000"/>
                <w:sz w:val="12"/>
                <w:szCs w:val="16"/>
                <w:lang w:eastAsia="en-029"/>
              </w:rPr>
              <w:t>Central Government Debt by Residency(XCD)</w:t>
            </w:r>
          </w:p>
        </w:tc>
        <w:tc>
          <w:tcPr>
            <w:tcW w:w="0" w:type="auto"/>
            <w:noWrap/>
            <w:hideMark/>
          </w:tcPr>
          <w:p w14:paraId="594575E6"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2,983.47</w:t>
            </w:r>
          </w:p>
        </w:tc>
        <w:tc>
          <w:tcPr>
            <w:tcW w:w="0" w:type="auto"/>
            <w:noWrap/>
            <w:hideMark/>
          </w:tcPr>
          <w:p w14:paraId="58C8F16A"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3,108.14</w:t>
            </w:r>
          </w:p>
        </w:tc>
        <w:tc>
          <w:tcPr>
            <w:tcW w:w="0" w:type="auto"/>
            <w:noWrap/>
            <w:hideMark/>
          </w:tcPr>
          <w:p w14:paraId="2FE248D3"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3,224.73</w:t>
            </w:r>
          </w:p>
        </w:tc>
        <w:tc>
          <w:tcPr>
            <w:tcW w:w="0" w:type="auto"/>
            <w:noWrap/>
            <w:hideMark/>
          </w:tcPr>
          <w:p w14:paraId="17108DE9"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3,561.13</w:t>
            </w:r>
          </w:p>
        </w:tc>
        <w:tc>
          <w:tcPr>
            <w:tcW w:w="0" w:type="auto"/>
            <w:noWrap/>
            <w:hideMark/>
          </w:tcPr>
          <w:p w14:paraId="7120F384"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3,864.35</w:t>
            </w:r>
          </w:p>
        </w:tc>
        <w:tc>
          <w:tcPr>
            <w:tcW w:w="0" w:type="auto"/>
            <w:noWrap/>
            <w:hideMark/>
          </w:tcPr>
          <w:p w14:paraId="182B00EC"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93.4%</w:t>
            </w:r>
          </w:p>
        </w:tc>
        <w:tc>
          <w:tcPr>
            <w:tcW w:w="0" w:type="auto"/>
            <w:noWrap/>
            <w:hideMark/>
          </w:tcPr>
          <w:p w14:paraId="44CF1BDA"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8.51</w:t>
            </w:r>
          </w:p>
        </w:tc>
      </w:tr>
      <w:tr w:rsidR="00D11502" w14:paraId="7BD93DD6"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4C76AABF"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External Debt</w:t>
            </w:r>
          </w:p>
        </w:tc>
        <w:tc>
          <w:tcPr>
            <w:tcW w:w="0" w:type="auto"/>
            <w:noWrap/>
            <w:hideMark/>
          </w:tcPr>
          <w:p w14:paraId="7F813E72"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1,590.89</w:t>
            </w:r>
          </w:p>
        </w:tc>
        <w:tc>
          <w:tcPr>
            <w:tcW w:w="0" w:type="auto"/>
            <w:noWrap/>
            <w:hideMark/>
          </w:tcPr>
          <w:p w14:paraId="1C458C2F"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1,580.48</w:t>
            </w:r>
          </w:p>
        </w:tc>
        <w:tc>
          <w:tcPr>
            <w:tcW w:w="0" w:type="auto"/>
            <w:noWrap/>
            <w:hideMark/>
          </w:tcPr>
          <w:p w14:paraId="331FA8CA"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1,640.52</w:t>
            </w:r>
          </w:p>
        </w:tc>
        <w:tc>
          <w:tcPr>
            <w:tcW w:w="0" w:type="auto"/>
            <w:noWrap/>
            <w:hideMark/>
          </w:tcPr>
          <w:p w14:paraId="609B0C52"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1,880.96</w:t>
            </w:r>
          </w:p>
        </w:tc>
        <w:tc>
          <w:tcPr>
            <w:tcW w:w="0" w:type="auto"/>
            <w:noWrap/>
            <w:hideMark/>
          </w:tcPr>
          <w:p w14:paraId="373495CF"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2,174.50</w:t>
            </w:r>
          </w:p>
        </w:tc>
        <w:tc>
          <w:tcPr>
            <w:tcW w:w="0" w:type="auto"/>
            <w:noWrap/>
            <w:hideMark/>
          </w:tcPr>
          <w:p w14:paraId="7763EEE0"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52.6%</w:t>
            </w:r>
          </w:p>
        </w:tc>
        <w:tc>
          <w:tcPr>
            <w:tcW w:w="0" w:type="auto"/>
            <w:noWrap/>
            <w:hideMark/>
          </w:tcPr>
          <w:p w14:paraId="4FD00EEB"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15.61</w:t>
            </w:r>
          </w:p>
        </w:tc>
      </w:tr>
      <w:tr w:rsidR="00D11502" w14:paraId="018BC19F"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58262D3B"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Domestic Debt</w:t>
            </w:r>
          </w:p>
        </w:tc>
        <w:tc>
          <w:tcPr>
            <w:tcW w:w="0" w:type="auto"/>
            <w:noWrap/>
            <w:hideMark/>
          </w:tcPr>
          <w:p w14:paraId="4BA21F41"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1,392.58</w:t>
            </w:r>
          </w:p>
        </w:tc>
        <w:tc>
          <w:tcPr>
            <w:tcW w:w="0" w:type="auto"/>
            <w:noWrap/>
            <w:hideMark/>
          </w:tcPr>
          <w:p w14:paraId="2595CCE4"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1,527.65</w:t>
            </w:r>
          </w:p>
        </w:tc>
        <w:tc>
          <w:tcPr>
            <w:tcW w:w="0" w:type="auto"/>
            <w:noWrap/>
            <w:hideMark/>
          </w:tcPr>
          <w:p w14:paraId="7EE21D38"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1,584.22</w:t>
            </w:r>
          </w:p>
        </w:tc>
        <w:tc>
          <w:tcPr>
            <w:tcW w:w="0" w:type="auto"/>
            <w:noWrap/>
            <w:hideMark/>
          </w:tcPr>
          <w:p w14:paraId="4387D7BE"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1,680.17</w:t>
            </w:r>
          </w:p>
        </w:tc>
        <w:tc>
          <w:tcPr>
            <w:tcW w:w="0" w:type="auto"/>
            <w:noWrap/>
            <w:hideMark/>
          </w:tcPr>
          <w:p w14:paraId="4D6C6B2A"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1,689.85</w:t>
            </w:r>
          </w:p>
        </w:tc>
        <w:tc>
          <w:tcPr>
            <w:tcW w:w="0" w:type="auto"/>
            <w:noWrap/>
            <w:hideMark/>
          </w:tcPr>
          <w:p w14:paraId="53580D9D"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40.9%</w:t>
            </w:r>
          </w:p>
        </w:tc>
        <w:tc>
          <w:tcPr>
            <w:tcW w:w="0" w:type="auto"/>
            <w:noWrap/>
            <w:hideMark/>
          </w:tcPr>
          <w:p w14:paraId="740F1454"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0.58</w:t>
            </w:r>
          </w:p>
        </w:tc>
      </w:tr>
      <w:tr w:rsidR="00D11502" w14:paraId="03F3A4E5" w14:textId="77777777" w:rsidTr="00F23B1D">
        <w:trPr>
          <w:trHeight w:val="222"/>
        </w:trPr>
        <w:tc>
          <w:tcPr>
            <w:cnfStyle w:val="001000000000" w:firstRow="0" w:lastRow="0" w:firstColumn="1" w:lastColumn="0" w:oddVBand="0" w:evenVBand="0" w:oddHBand="0" w:evenHBand="0" w:firstRowFirstColumn="0" w:firstRowLastColumn="0" w:lastRowFirstColumn="0" w:lastRowLastColumn="0"/>
            <w:tcW w:w="0" w:type="auto"/>
            <w:hideMark/>
          </w:tcPr>
          <w:p w14:paraId="698FA1D6"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color w:val="000000"/>
                <w:sz w:val="12"/>
                <w:szCs w:val="16"/>
                <w:lang w:eastAsia="en-029"/>
              </w:rPr>
              <w:t>Central Government Debt by Instrument (XCD)</w:t>
            </w:r>
          </w:p>
        </w:tc>
        <w:tc>
          <w:tcPr>
            <w:tcW w:w="0" w:type="auto"/>
            <w:noWrap/>
            <w:hideMark/>
          </w:tcPr>
          <w:p w14:paraId="46408DF9"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2"/>
                <w:szCs w:val="16"/>
                <w:lang w:eastAsia="en-029"/>
              </w:rPr>
            </w:pPr>
            <w:r w:rsidRPr="008661F6">
              <w:rPr>
                <w:rFonts w:eastAsia="Times New Roman" w:cs="Times New Roman"/>
                <w:b/>
                <w:bCs/>
                <w:sz w:val="12"/>
                <w:szCs w:val="16"/>
                <w:lang w:eastAsia="en-029"/>
              </w:rPr>
              <w:t>2,565.45</w:t>
            </w:r>
          </w:p>
        </w:tc>
        <w:tc>
          <w:tcPr>
            <w:tcW w:w="0" w:type="auto"/>
            <w:noWrap/>
            <w:hideMark/>
          </w:tcPr>
          <w:p w14:paraId="359358BB"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2"/>
                <w:szCs w:val="16"/>
                <w:lang w:eastAsia="en-029"/>
              </w:rPr>
            </w:pPr>
            <w:r w:rsidRPr="008661F6">
              <w:rPr>
                <w:rFonts w:eastAsia="Times New Roman" w:cs="Times New Roman"/>
                <w:b/>
                <w:bCs/>
                <w:sz w:val="12"/>
                <w:szCs w:val="16"/>
                <w:lang w:eastAsia="en-029"/>
              </w:rPr>
              <w:t>2,488.35</w:t>
            </w:r>
          </w:p>
        </w:tc>
        <w:tc>
          <w:tcPr>
            <w:tcW w:w="0" w:type="auto"/>
            <w:noWrap/>
            <w:hideMark/>
          </w:tcPr>
          <w:p w14:paraId="70BFDE83"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2"/>
                <w:szCs w:val="16"/>
                <w:lang w:eastAsia="en-029"/>
              </w:rPr>
            </w:pPr>
            <w:r w:rsidRPr="008661F6">
              <w:rPr>
                <w:rFonts w:eastAsia="Times New Roman" w:cs="Times New Roman"/>
                <w:b/>
                <w:bCs/>
                <w:sz w:val="12"/>
                <w:szCs w:val="16"/>
                <w:lang w:eastAsia="en-029"/>
              </w:rPr>
              <w:t>2,549.13</w:t>
            </w:r>
          </w:p>
        </w:tc>
        <w:tc>
          <w:tcPr>
            <w:tcW w:w="0" w:type="auto"/>
            <w:noWrap/>
            <w:hideMark/>
          </w:tcPr>
          <w:p w14:paraId="0BC84CF7"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2"/>
                <w:szCs w:val="16"/>
                <w:lang w:eastAsia="en-029"/>
              </w:rPr>
            </w:pPr>
            <w:r w:rsidRPr="008661F6">
              <w:rPr>
                <w:rFonts w:eastAsia="Times New Roman" w:cs="Times New Roman"/>
                <w:b/>
                <w:bCs/>
                <w:sz w:val="12"/>
                <w:szCs w:val="16"/>
                <w:lang w:eastAsia="en-029"/>
              </w:rPr>
              <w:t>2,924.51</w:t>
            </w:r>
          </w:p>
        </w:tc>
        <w:tc>
          <w:tcPr>
            <w:tcW w:w="0" w:type="auto"/>
            <w:noWrap/>
            <w:hideMark/>
          </w:tcPr>
          <w:p w14:paraId="1E3D5F7F"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2"/>
                <w:szCs w:val="16"/>
                <w:lang w:eastAsia="en-029"/>
              </w:rPr>
            </w:pPr>
            <w:r w:rsidRPr="008661F6">
              <w:rPr>
                <w:rFonts w:eastAsia="Times New Roman" w:cs="Times New Roman"/>
                <w:b/>
                <w:bCs/>
                <w:sz w:val="12"/>
                <w:szCs w:val="16"/>
                <w:lang w:eastAsia="en-029"/>
              </w:rPr>
              <w:t>3,206.99</w:t>
            </w:r>
          </w:p>
        </w:tc>
        <w:tc>
          <w:tcPr>
            <w:tcW w:w="0" w:type="auto"/>
            <w:noWrap/>
            <w:hideMark/>
          </w:tcPr>
          <w:p w14:paraId="338554B8"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77.5%</w:t>
            </w:r>
          </w:p>
        </w:tc>
        <w:tc>
          <w:tcPr>
            <w:tcW w:w="0" w:type="auto"/>
            <w:noWrap/>
            <w:hideMark/>
          </w:tcPr>
          <w:p w14:paraId="1D0FD88F"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9.66</w:t>
            </w:r>
          </w:p>
        </w:tc>
      </w:tr>
      <w:tr w:rsidR="00D11502" w14:paraId="1F417BD7"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3509887C"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Loans</w:t>
            </w:r>
          </w:p>
        </w:tc>
        <w:tc>
          <w:tcPr>
            <w:tcW w:w="0" w:type="auto"/>
            <w:noWrap/>
            <w:hideMark/>
          </w:tcPr>
          <w:p w14:paraId="49C5C5BA"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895.69</w:t>
            </w:r>
          </w:p>
        </w:tc>
        <w:tc>
          <w:tcPr>
            <w:tcW w:w="0" w:type="auto"/>
            <w:noWrap/>
            <w:hideMark/>
          </w:tcPr>
          <w:p w14:paraId="433F51C1"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887.51</w:t>
            </w:r>
          </w:p>
        </w:tc>
        <w:tc>
          <w:tcPr>
            <w:tcW w:w="0" w:type="auto"/>
            <w:noWrap/>
            <w:hideMark/>
          </w:tcPr>
          <w:p w14:paraId="6F302324"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925.22</w:t>
            </w:r>
          </w:p>
        </w:tc>
        <w:tc>
          <w:tcPr>
            <w:tcW w:w="0" w:type="auto"/>
            <w:noWrap/>
            <w:hideMark/>
          </w:tcPr>
          <w:p w14:paraId="24C1079A"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1,210.18</w:t>
            </w:r>
          </w:p>
        </w:tc>
        <w:tc>
          <w:tcPr>
            <w:tcW w:w="0" w:type="auto"/>
            <w:noWrap/>
            <w:hideMark/>
          </w:tcPr>
          <w:p w14:paraId="1C4D6B99"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1,467.13</w:t>
            </w:r>
          </w:p>
        </w:tc>
        <w:tc>
          <w:tcPr>
            <w:tcW w:w="0" w:type="auto"/>
            <w:noWrap/>
            <w:hideMark/>
          </w:tcPr>
          <w:p w14:paraId="61259F73"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35.5%</w:t>
            </w:r>
          </w:p>
        </w:tc>
        <w:tc>
          <w:tcPr>
            <w:tcW w:w="0" w:type="auto"/>
            <w:noWrap/>
            <w:hideMark/>
          </w:tcPr>
          <w:p w14:paraId="7B62FAEE"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21.23</w:t>
            </w:r>
          </w:p>
        </w:tc>
      </w:tr>
      <w:tr w:rsidR="00D11502" w14:paraId="7D795A73"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2E38B8DB"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Bonds</w:t>
            </w:r>
          </w:p>
        </w:tc>
        <w:tc>
          <w:tcPr>
            <w:tcW w:w="0" w:type="auto"/>
            <w:noWrap/>
            <w:hideMark/>
          </w:tcPr>
          <w:p w14:paraId="5118638D"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1,172.47</w:t>
            </w:r>
          </w:p>
        </w:tc>
        <w:tc>
          <w:tcPr>
            <w:tcW w:w="0" w:type="auto"/>
            <w:noWrap/>
            <w:hideMark/>
          </w:tcPr>
          <w:p w14:paraId="2FB008B1"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1,238.46</w:t>
            </w:r>
          </w:p>
        </w:tc>
        <w:tc>
          <w:tcPr>
            <w:tcW w:w="0" w:type="auto"/>
            <w:noWrap/>
            <w:hideMark/>
          </w:tcPr>
          <w:p w14:paraId="0F4A3A6E"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1,280.13</w:t>
            </w:r>
          </w:p>
        </w:tc>
        <w:tc>
          <w:tcPr>
            <w:tcW w:w="0" w:type="auto"/>
            <w:noWrap/>
            <w:hideMark/>
          </w:tcPr>
          <w:p w14:paraId="2DB0566B"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1,383.59</w:t>
            </w:r>
          </w:p>
        </w:tc>
        <w:tc>
          <w:tcPr>
            <w:tcW w:w="0" w:type="auto"/>
            <w:noWrap/>
            <w:hideMark/>
          </w:tcPr>
          <w:p w14:paraId="60F01325"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1,374.47</w:t>
            </w:r>
          </w:p>
        </w:tc>
        <w:tc>
          <w:tcPr>
            <w:tcW w:w="0" w:type="auto"/>
            <w:noWrap/>
            <w:hideMark/>
          </w:tcPr>
          <w:p w14:paraId="751B6F32"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33.2%</w:t>
            </w:r>
          </w:p>
        </w:tc>
        <w:tc>
          <w:tcPr>
            <w:tcW w:w="0" w:type="auto"/>
            <w:noWrap/>
            <w:hideMark/>
          </w:tcPr>
          <w:p w14:paraId="3885BB90"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-0.66</w:t>
            </w:r>
          </w:p>
        </w:tc>
      </w:tr>
      <w:tr w:rsidR="00D11502" w14:paraId="19D39187"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338FF77F"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Notes</w:t>
            </w:r>
          </w:p>
        </w:tc>
        <w:tc>
          <w:tcPr>
            <w:tcW w:w="0" w:type="auto"/>
            <w:noWrap/>
            <w:hideMark/>
          </w:tcPr>
          <w:p w14:paraId="35169795"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418.02</w:t>
            </w:r>
          </w:p>
        </w:tc>
        <w:tc>
          <w:tcPr>
            <w:tcW w:w="0" w:type="auto"/>
            <w:noWrap/>
            <w:hideMark/>
          </w:tcPr>
          <w:p w14:paraId="3EC1FDCE"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619.79</w:t>
            </w:r>
          </w:p>
        </w:tc>
        <w:tc>
          <w:tcPr>
            <w:tcW w:w="0" w:type="auto"/>
            <w:noWrap/>
            <w:hideMark/>
          </w:tcPr>
          <w:p w14:paraId="33329709"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675.60</w:t>
            </w:r>
          </w:p>
        </w:tc>
        <w:tc>
          <w:tcPr>
            <w:tcW w:w="0" w:type="auto"/>
            <w:noWrap/>
            <w:hideMark/>
          </w:tcPr>
          <w:p w14:paraId="36D90DE2"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636.61</w:t>
            </w:r>
          </w:p>
        </w:tc>
        <w:tc>
          <w:tcPr>
            <w:tcW w:w="0" w:type="auto"/>
            <w:noWrap/>
            <w:hideMark/>
          </w:tcPr>
          <w:p w14:paraId="3FF67A3B"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657.36</w:t>
            </w:r>
          </w:p>
        </w:tc>
        <w:tc>
          <w:tcPr>
            <w:tcW w:w="0" w:type="auto"/>
            <w:noWrap/>
            <w:hideMark/>
          </w:tcPr>
          <w:p w14:paraId="6DBC0F2F"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15.9%</w:t>
            </w:r>
          </w:p>
        </w:tc>
        <w:tc>
          <w:tcPr>
            <w:tcW w:w="0" w:type="auto"/>
            <w:noWrap/>
            <w:hideMark/>
          </w:tcPr>
          <w:p w14:paraId="629F7189"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3.26</w:t>
            </w:r>
          </w:p>
        </w:tc>
      </w:tr>
      <w:tr w:rsidR="00D11502" w14:paraId="4616D394"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6482AC13"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Treasury Bills</w:t>
            </w:r>
          </w:p>
        </w:tc>
        <w:tc>
          <w:tcPr>
            <w:tcW w:w="0" w:type="auto"/>
            <w:noWrap/>
            <w:hideMark/>
          </w:tcPr>
          <w:p w14:paraId="04105269"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497.29</w:t>
            </w:r>
          </w:p>
        </w:tc>
        <w:tc>
          <w:tcPr>
            <w:tcW w:w="0" w:type="auto"/>
            <w:noWrap/>
            <w:hideMark/>
          </w:tcPr>
          <w:p w14:paraId="01364324"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362.37</w:t>
            </w:r>
          </w:p>
        </w:tc>
        <w:tc>
          <w:tcPr>
            <w:tcW w:w="0" w:type="auto"/>
            <w:noWrap/>
            <w:hideMark/>
          </w:tcPr>
          <w:p w14:paraId="19BA6A03"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343.78</w:t>
            </w:r>
          </w:p>
        </w:tc>
        <w:tc>
          <w:tcPr>
            <w:tcW w:w="0" w:type="auto"/>
            <w:noWrap/>
            <w:hideMark/>
          </w:tcPr>
          <w:p w14:paraId="1F81B5D5"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330.74</w:t>
            </w:r>
          </w:p>
        </w:tc>
        <w:tc>
          <w:tcPr>
            <w:tcW w:w="0" w:type="auto"/>
            <w:noWrap/>
            <w:hideMark/>
          </w:tcPr>
          <w:p w14:paraId="4E2968F5"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365.39</w:t>
            </w:r>
          </w:p>
        </w:tc>
        <w:tc>
          <w:tcPr>
            <w:tcW w:w="0" w:type="auto"/>
            <w:noWrap/>
            <w:hideMark/>
          </w:tcPr>
          <w:p w14:paraId="25AC6685"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8.8%</w:t>
            </w:r>
          </w:p>
        </w:tc>
        <w:tc>
          <w:tcPr>
            <w:tcW w:w="0" w:type="auto"/>
            <w:noWrap/>
            <w:hideMark/>
          </w:tcPr>
          <w:p w14:paraId="61E5C080"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10.48</w:t>
            </w:r>
          </w:p>
        </w:tc>
      </w:tr>
      <w:tr w:rsidR="00D11502" w14:paraId="7073A187"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74BFAFE0"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color w:val="000000"/>
                <w:sz w:val="12"/>
                <w:szCs w:val="16"/>
                <w:lang w:eastAsia="en-029"/>
              </w:rPr>
              <w:t>Contingent Liabilities by Residency (XCD)</w:t>
            </w:r>
          </w:p>
        </w:tc>
        <w:tc>
          <w:tcPr>
            <w:tcW w:w="0" w:type="auto"/>
            <w:noWrap/>
            <w:hideMark/>
          </w:tcPr>
          <w:p w14:paraId="78CB1FC7"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193.81</w:t>
            </w:r>
          </w:p>
        </w:tc>
        <w:tc>
          <w:tcPr>
            <w:tcW w:w="0" w:type="auto"/>
            <w:noWrap/>
            <w:hideMark/>
          </w:tcPr>
          <w:p w14:paraId="238F1BCB"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198.19</w:t>
            </w:r>
          </w:p>
        </w:tc>
        <w:tc>
          <w:tcPr>
            <w:tcW w:w="0" w:type="auto"/>
            <w:noWrap/>
            <w:hideMark/>
          </w:tcPr>
          <w:p w14:paraId="4429F005"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192.82</w:t>
            </w:r>
          </w:p>
        </w:tc>
        <w:tc>
          <w:tcPr>
            <w:tcW w:w="0" w:type="auto"/>
            <w:noWrap/>
            <w:hideMark/>
          </w:tcPr>
          <w:p w14:paraId="17E9CF47"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212.69</w:t>
            </w:r>
          </w:p>
        </w:tc>
        <w:tc>
          <w:tcPr>
            <w:tcW w:w="0" w:type="auto"/>
            <w:noWrap/>
            <w:hideMark/>
          </w:tcPr>
          <w:p w14:paraId="7FC19A00"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271.08</w:t>
            </w:r>
          </w:p>
        </w:tc>
        <w:tc>
          <w:tcPr>
            <w:tcW w:w="0" w:type="auto"/>
            <w:noWrap/>
            <w:hideMark/>
          </w:tcPr>
          <w:p w14:paraId="413DEF94"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6.6%</w:t>
            </w:r>
          </w:p>
        </w:tc>
        <w:tc>
          <w:tcPr>
            <w:tcW w:w="0" w:type="auto"/>
            <w:noWrap/>
            <w:hideMark/>
          </w:tcPr>
          <w:p w14:paraId="001CEB18"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27.46</w:t>
            </w:r>
          </w:p>
        </w:tc>
      </w:tr>
      <w:tr w:rsidR="00D11502" w14:paraId="20D2FB38"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1F089F86"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External Debt</w:t>
            </w:r>
          </w:p>
        </w:tc>
        <w:tc>
          <w:tcPr>
            <w:tcW w:w="0" w:type="auto"/>
            <w:noWrap/>
            <w:hideMark/>
          </w:tcPr>
          <w:p w14:paraId="28DC93B3"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42.45</w:t>
            </w:r>
          </w:p>
        </w:tc>
        <w:tc>
          <w:tcPr>
            <w:tcW w:w="0" w:type="auto"/>
            <w:noWrap/>
            <w:hideMark/>
          </w:tcPr>
          <w:p w14:paraId="311B0076"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37.11</w:t>
            </w:r>
          </w:p>
        </w:tc>
        <w:tc>
          <w:tcPr>
            <w:tcW w:w="0" w:type="auto"/>
            <w:noWrap/>
            <w:hideMark/>
          </w:tcPr>
          <w:p w14:paraId="73ED7ED0"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49.13</w:t>
            </w:r>
          </w:p>
        </w:tc>
        <w:tc>
          <w:tcPr>
            <w:tcW w:w="0" w:type="auto"/>
            <w:noWrap/>
            <w:hideMark/>
          </w:tcPr>
          <w:p w14:paraId="7926EA7E"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66.29</w:t>
            </w:r>
          </w:p>
        </w:tc>
        <w:tc>
          <w:tcPr>
            <w:tcW w:w="0" w:type="auto"/>
            <w:noWrap/>
            <w:hideMark/>
          </w:tcPr>
          <w:p w14:paraId="64FEEA91"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115.74</w:t>
            </w:r>
          </w:p>
        </w:tc>
        <w:tc>
          <w:tcPr>
            <w:tcW w:w="0" w:type="auto"/>
            <w:noWrap/>
            <w:hideMark/>
          </w:tcPr>
          <w:p w14:paraId="2279B430"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2.8%</w:t>
            </w:r>
          </w:p>
        </w:tc>
        <w:tc>
          <w:tcPr>
            <w:tcW w:w="0" w:type="auto"/>
            <w:noWrap/>
            <w:hideMark/>
          </w:tcPr>
          <w:p w14:paraId="3202646A"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74.61</w:t>
            </w:r>
          </w:p>
        </w:tc>
      </w:tr>
      <w:tr w:rsidR="00D11502" w14:paraId="4E55EA24"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58FC5C79"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Domestic Debt</w:t>
            </w:r>
          </w:p>
        </w:tc>
        <w:tc>
          <w:tcPr>
            <w:tcW w:w="0" w:type="auto"/>
            <w:noWrap/>
            <w:hideMark/>
          </w:tcPr>
          <w:p w14:paraId="64747295"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151.36</w:t>
            </w:r>
          </w:p>
        </w:tc>
        <w:tc>
          <w:tcPr>
            <w:tcW w:w="0" w:type="auto"/>
            <w:noWrap/>
            <w:hideMark/>
          </w:tcPr>
          <w:p w14:paraId="625CBC28"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161.08</w:t>
            </w:r>
          </w:p>
        </w:tc>
        <w:tc>
          <w:tcPr>
            <w:tcW w:w="0" w:type="auto"/>
            <w:noWrap/>
            <w:hideMark/>
          </w:tcPr>
          <w:p w14:paraId="1AAB384E"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143.68</w:t>
            </w:r>
          </w:p>
        </w:tc>
        <w:tc>
          <w:tcPr>
            <w:tcW w:w="0" w:type="auto"/>
            <w:noWrap/>
            <w:hideMark/>
          </w:tcPr>
          <w:p w14:paraId="359BBFC9"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146.40</w:t>
            </w:r>
          </w:p>
        </w:tc>
        <w:tc>
          <w:tcPr>
            <w:tcW w:w="0" w:type="auto"/>
            <w:noWrap/>
            <w:hideMark/>
          </w:tcPr>
          <w:p w14:paraId="33194562"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155.34</w:t>
            </w:r>
          </w:p>
        </w:tc>
        <w:tc>
          <w:tcPr>
            <w:tcW w:w="0" w:type="auto"/>
            <w:noWrap/>
            <w:hideMark/>
          </w:tcPr>
          <w:p w14:paraId="6B877F64"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3.8%</w:t>
            </w:r>
          </w:p>
        </w:tc>
        <w:tc>
          <w:tcPr>
            <w:tcW w:w="0" w:type="auto"/>
            <w:noWrap/>
            <w:hideMark/>
          </w:tcPr>
          <w:p w14:paraId="482F0169"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6.10</w:t>
            </w:r>
          </w:p>
        </w:tc>
      </w:tr>
      <w:tr w:rsidR="00D11502" w14:paraId="38E5195E"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51044E7A"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color w:val="000000"/>
                <w:sz w:val="12"/>
                <w:szCs w:val="16"/>
                <w:lang w:eastAsia="en-029"/>
              </w:rPr>
              <w:t>Foreign Currency Risk (Units)</w:t>
            </w:r>
          </w:p>
        </w:tc>
        <w:tc>
          <w:tcPr>
            <w:tcW w:w="0" w:type="auto"/>
            <w:noWrap/>
            <w:hideMark/>
          </w:tcPr>
          <w:p w14:paraId="2D4391A3" w14:textId="77777777" w:rsidR="00003F03" w:rsidRPr="008661F6" w:rsidRDefault="00003F03"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p>
        </w:tc>
        <w:tc>
          <w:tcPr>
            <w:tcW w:w="0" w:type="auto"/>
            <w:noWrap/>
            <w:hideMark/>
          </w:tcPr>
          <w:p w14:paraId="1436E299" w14:textId="77777777" w:rsidR="00003F03" w:rsidRPr="008661F6" w:rsidRDefault="00003F03"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p>
        </w:tc>
        <w:tc>
          <w:tcPr>
            <w:tcW w:w="0" w:type="auto"/>
            <w:noWrap/>
            <w:hideMark/>
          </w:tcPr>
          <w:p w14:paraId="189FCCE5" w14:textId="77777777" w:rsidR="00003F03" w:rsidRPr="008661F6" w:rsidRDefault="00003F03"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p>
        </w:tc>
        <w:tc>
          <w:tcPr>
            <w:tcW w:w="0" w:type="auto"/>
            <w:noWrap/>
            <w:hideMark/>
          </w:tcPr>
          <w:p w14:paraId="45842157" w14:textId="77777777" w:rsidR="00003F03" w:rsidRPr="008661F6" w:rsidRDefault="00003F03"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p>
        </w:tc>
        <w:tc>
          <w:tcPr>
            <w:tcW w:w="0" w:type="auto"/>
            <w:noWrap/>
            <w:hideMark/>
          </w:tcPr>
          <w:p w14:paraId="78FFF0A0" w14:textId="77777777" w:rsidR="00003F03" w:rsidRPr="008661F6" w:rsidRDefault="00003F03"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p>
        </w:tc>
        <w:tc>
          <w:tcPr>
            <w:tcW w:w="0" w:type="auto"/>
            <w:noWrap/>
            <w:hideMark/>
          </w:tcPr>
          <w:p w14:paraId="0DBF2B28" w14:textId="77777777" w:rsidR="00003F03" w:rsidRPr="008661F6" w:rsidRDefault="00003F03"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p>
        </w:tc>
        <w:tc>
          <w:tcPr>
            <w:tcW w:w="0" w:type="auto"/>
            <w:noWrap/>
            <w:hideMark/>
          </w:tcPr>
          <w:p w14:paraId="79E748E9"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 </w:t>
            </w:r>
          </w:p>
        </w:tc>
      </w:tr>
      <w:tr w:rsidR="00D11502" w14:paraId="1CAB8976"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480AF567"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ECD</w:t>
            </w:r>
          </w:p>
        </w:tc>
        <w:tc>
          <w:tcPr>
            <w:tcW w:w="0" w:type="auto"/>
            <w:noWrap/>
            <w:hideMark/>
          </w:tcPr>
          <w:p w14:paraId="67754A7B"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1,881.43</w:t>
            </w:r>
          </w:p>
        </w:tc>
        <w:tc>
          <w:tcPr>
            <w:tcW w:w="0" w:type="auto"/>
            <w:noWrap/>
            <w:hideMark/>
          </w:tcPr>
          <w:p w14:paraId="19B73743"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2,032.23</w:t>
            </w:r>
          </w:p>
        </w:tc>
        <w:tc>
          <w:tcPr>
            <w:tcW w:w="0" w:type="auto"/>
            <w:noWrap/>
            <w:hideMark/>
          </w:tcPr>
          <w:p w14:paraId="24CFD25E"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2,042.54</w:t>
            </w:r>
          </w:p>
        </w:tc>
        <w:tc>
          <w:tcPr>
            <w:tcW w:w="0" w:type="auto"/>
            <w:noWrap/>
            <w:hideMark/>
          </w:tcPr>
          <w:p w14:paraId="53C62F7F"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2,176.76</w:t>
            </w:r>
          </w:p>
        </w:tc>
        <w:tc>
          <w:tcPr>
            <w:tcW w:w="0" w:type="auto"/>
            <w:noWrap/>
            <w:hideMark/>
          </w:tcPr>
          <w:p w14:paraId="751902AF"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2,169.59</w:t>
            </w:r>
          </w:p>
        </w:tc>
        <w:tc>
          <w:tcPr>
            <w:tcW w:w="0" w:type="auto"/>
            <w:noWrap/>
            <w:hideMark/>
          </w:tcPr>
          <w:p w14:paraId="5B88F4D3"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52.5%</w:t>
            </w:r>
          </w:p>
        </w:tc>
        <w:tc>
          <w:tcPr>
            <w:tcW w:w="0" w:type="auto"/>
            <w:noWrap/>
            <w:hideMark/>
          </w:tcPr>
          <w:p w14:paraId="3025293B"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-0.33</w:t>
            </w:r>
          </w:p>
        </w:tc>
      </w:tr>
      <w:tr w:rsidR="00D11502" w14:paraId="50FA2FDE"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7BC54337"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USD</w:t>
            </w:r>
          </w:p>
        </w:tc>
        <w:tc>
          <w:tcPr>
            <w:tcW w:w="0" w:type="auto"/>
            <w:noWrap/>
            <w:hideMark/>
          </w:tcPr>
          <w:p w14:paraId="59B07C88"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1,016.97</w:t>
            </w:r>
          </w:p>
        </w:tc>
        <w:tc>
          <w:tcPr>
            <w:tcW w:w="0" w:type="auto"/>
            <w:noWrap/>
            <w:hideMark/>
          </w:tcPr>
          <w:p w14:paraId="62A64871"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1,008.35</w:t>
            </w:r>
          </w:p>
        </w:tc>
        <w:tc>
          <w:tcPr>
            <w:tcW w:w="0" w:type="auto"/>
            <w:noWrap/>
            <w:hideMark/>
          </w:tcPr>
          <w:p w14:paraId="20360B7E"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1,121.35</w:t>
            </w:r>
          </w:p>
        </w:tc>
        <w:tc>
          <w:tcPr>
            <w:tcW w:w="0" w:type="auto"/>
            <w:noWrap/>
            <w:hideMark/>
          </w:tcPr>
          <w:p w14:paraId="54639E97"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1,244.59</w:t>
            </w:r>
          </w:p>
        </w:tc>
        <w:tc>
          <w:tcPr>
            <w:tcW w:w="0" w:type="auto"/>
            <w:noWrap/>
            <w:hideMark/>
          </w:tcPr>
          <w:p w14:paraId="0CC7DB14"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1,607.56</w:t>
            </w:r>
          </w:p>
        </w:tc>
        <w:tc>
          <w:tcPr>
            <w:tcW w:w="0" w:type="auto"/>
            <w:noWrap/>
            <w:hideMark/>
          </w:tcPr>
          <w:p w14:paraId="6A2C4808"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38.9%</w:t>
            </w:r>
          </w:p>
        </w:tc>
        <w:tc>
          <w:tcPr>
            <w:tcW w:w="0" w:type="auto"/>
            <w:noWrap/>
            <w:hideMark/>
          </w:tcPr>
          <w:p w14:paraId="3FD45CD5"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29.16</w:t>
            </w:r>
          </w:p>
        </w:tc>
      </w:tr>
      <w:tr w:rsidR="00D11502" w14:paraId="3F753C77"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290B4558"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EUR</w:t>
            </w:r>
          </w:p>
        </w:tc>
        <w:tc>
          <w:tcPr>
            <w:tcW w:w="0" w:type="auto"/>
            <w:noWrap/>
            <w:hideMark/>
          </w:tcPr>
          <w:p w14:paraId="307017D0"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12.08</w:t>
            </w:r>
          </w:p>
        </w:tc>
        <w:tc>
          <w:tcPr>
            <w:tcW w:w="0" w:type="auto"/>
            <w:noWrap/>
            <w:hideMark/>
          </w:tcPr>
          <w:p w14:paraId="574E4E0B"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9.25</w:t>
            </w:r>
          </w:p>
        </w:tc>
        <w:tc>
          <w:tcPr>
            <w:tcW w:w="0" w:type="auto"/>
            <w:noWrap/>
            <w:hideMark/>
          </w:tcPr>
          <w:p w14:paraId="7214E0C6"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6.79</w:t>
            </w:r>
          </w:p>
        </w:tc>
        <w:tc>
          <w:tcPr>
            <w:tcW w:w="0" w:type="auto"/>
            <w:noWrap/>
            <w:hideMark/>
          </w:tcPr>
          <w:p w14:paraId="25FFF189"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4.96</w:t>
            </w:r>
          </w:p>
        </w:tc>
        <w:tc>
          <w:tcPr>
            <w:tcW w:w="0" w:type="auto"/>
            <w:noWrap/>
            <w:hideMark/>
          </w:tcPr>
          <w:p w14:paraId="66E1D3EF"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4.76</w:t>
            </w:r>
          </w:p>
        </w:tc>
        <w:tc>
          <w:tcPr>
            <w:tcW w:w="0" w:type="auto"/>
            <w:noWrap/>
            <w:hideMark/>
          </w:tcPr>
          <w:p w14:paraId="008C5663"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0.1%</w:t>
            </w:r>
          </w:p>
        </w:tc>
        <w:tc>
          <w:tcPr>
            <w:tcW w:w="0" w:type="auto"/>
            <w:noWrap/>
            <w:hideMark/>
          </w:tcPr>
          <w:p w14:paraId="22DAD049"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-4.07</w:t>
            </w:r>
          </w:p>
        </w:tc>
      </w:tr>
      <w:tr w:rsidR="00D11502" w14:paraId="753AD61E"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0F9D6C33"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KWD</w:t>
            </w:r>
          </w:p>
        </w:tc>
        <w:tc>
          <w:tcPr>
            <w:tcW w:w="0" w:type="auto"/>
            <w:noWrap/>
            <w:hideMark/>
          </w:tcPr>
          <w:p w14:paraId="254C9CEC"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22.35</w:t>
            </w:r>
          </w:p>
        </w:tc>
        <w:tc>
          <w:tcPr>
            <w:tcW w:w="0" w:type="auto"/>
            <w:noWrap/>
            <w:hideMark/>
          </w:tcPr>
          <w:p w14:paraId="072CCCA6"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19.51</w:t>
            </w:r>
          </w:p>
        </w:tc>
        <w:tc>
          <w:tcPr>
            <w:tcW w:w="0" w:type="auto"/>
            <w:noWrap/>
            <w:hideMark/>
          </w:tcPr>
          <w:p w14:paraId="5CB3B7A5"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16.51</w:t>
            </w:r>
          </w:p>
        </w:tc>
        <w:tc>
          <w:tcPr>
            <w:tcW w:w="0" w:type="auto"/>
            <w:noWrap/>
            <w:hideMark/>
          </w:tcPr>
          <w:p w14:paraId="75992FBF"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14.83</w:t>
            </w:r>
          </w:p>
        </w:tc>
        <w:tc>
          <w:tcPr>
            <w:tcW w:w="0" w:type="auto"/>
            <w:noWrap/>
            <w:hideMark/>
          </w:tcPr>
          <w:p w14:paraId="10C9A76E"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12.71</w:t>
            </w:r>
          </w:p>
        </w:tc>
        <w:tc>
          <w:tcPr>
            <w:tcW w:w="0" w:type="auto"/>
            <w:noWrap/>
            <w:hideMark/>
          </w:tcPr>
          <w:p w14:paraId="2328CFF3"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0.3%</w:t>
            </w:r>
          </w:p>
        </w:tc>
        <w:tc>
          <w:tcPr>
            <w:tcW w:w="0" w:type="auto"/>
            <w:noWrap/>
            <w:hideMark/>
          </w:tcPr>
          <w:p w14:paraId="6FBE5E76"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-14.29</w:t>
            </w:r>
          </w:p>
        </w:tc>
      </w:tr>
      <w:tr w:rsidR="00D11502" w14:paraId="02B463EE"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6D352379"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SDR</w:t>
            </w:r>
          </w:p>
        </w:tc>
        <w:tc>
          <w:tcPr>
            <w:tcW w:w="0" w:type="auto"/>
            <w:noWrap/>
            <w:hideMark/>
          </w:tcPr>
          <w:p w14:paraId="2A9ECC6C"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244.46</w:t>
            </w:r>
          </w:p>
        </w:tc>
        <w:tc>
          <w:tcPr>
            <w:tcW w:w="0" w:type="auto"/>
            <w:noWrap/>
            <w:hideMark/>
          </w:tcPr>
          <w:p w14:paraId="291521A1"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236.99</w:t>
            </w:r>
          </w:p>
        </w:tc>
        <w:tc>
          <w:tcPr>
            <w:tcW w:w="0" w:type="auto"/>
            <w:noWrap/>
            <w:hideMark/>
          </w:tcPr>
          <w:p w14:paraId="2AB7E186"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230.21</w:t>
            </w:r>
          </w:p>
        </w:tc>
        <w:tc>
          <w:tcPr>
            <w:tcW w:w="0" w:type="auto"/>
            <w:noWrap/>
            <w:hideMark/>
          </w:tcPr>
          <w:p w14:paraId="6B53A8D2"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332.66</w:t>
            </w:r>
          </w:p>
        </w:tc>
        <w:tc>
          <w:tcPr>
            <w:tcW w:w="0" w:type="auto"/>
            <w:noWrap/>
            <w:hideMark/>
          </w:tcPr>
          <w:p w14:paraId="038063A6"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340.80</w:t>
            </w:r>
          </w:p>
        </w:tc>
        <w:tc>
          <w:tcPr>
            <w:tcW w:w="0" w:type="auto"/>
            <w:noWrap/>
            <w:hideMark/>
          </w:tcPr>
          <w:p w14:paraId="6F7B8562"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8.2%</w:t>
            </w:r>
          </w:p>
        </w:tc>
        <w:tc>
          <w:tcPr>
            <w:tcW w:w="0" w:type="auto"/>
            <w:noWrap/>
            <w:hideMark/>
          </w:tcPr>
          <w:p w14:paraId="70B8F5A3" w14:textId="77777777" w:rsidR="00003F03" w:rsidRPr="008661F6" w:rsidRDefault="00365B1B" w:rsidP="00003F0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2.45</w:t>
            </w:r>
          </w:p>
        </w:tc>
      </w:tr>
      <w:tr w:rsidR="00D11502" w14:paraId="1248389B"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5D6A62B9" w14:textId="77777777" w:rsidR="00003F03" w:rsidRPr="008661F6" w:rsidRDefault="00365B1B" w:rsidP="00003F03">
            <w:pPr>
              <w:jc w:val="center"/>
              <w:rPr>
                <w:rFonts w:eastAsia="Times New Roman" w:cs="Times New Roman"/>
                <w:color w:val="000000"/>
                <w:sz w:val="12"/>
                <w:szCs w:val="16"/>
                <w:lang w:eastAsia="en-029"/>
              </w:rPr>
            </w:pPr>
            <w:r w:rsidRPr="008661F6">
              <w:rPr>
                <w:rFonts w:eastAsia="Times New Roman" w:cs="Times New Roman"/>
                <w:color w:val="000000"/>
                <w:sz w:val="12"/>
                <w:szCs w:val="16"/>
                <w:lang w:eastAsia="en-029"/>
              </w:rPr>
              <w:t>Total Debt Service (XCD)</w:t>
            </w:r>
          </w:p>
        </w:tc>
        <w:tc>
          <w:tcPr>
            <w:tcW w:w="0" w:type="auto"/>
            <w:noWrap/>
            <w:hideMark/>
          </w:tcPr>
          <w:p w14:paraId="555A3511"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1,193.10</w:t>
            </w:r>
          </w:p>
        </w:tc>
        <w:tc>
          <w:tcPr>
            <w:tcW w:w="0" w:type="auto"/>
            <w:noWrap/>
            <w:hideMark/>
          </w:tcPr>
          <w:p w14:paraId="00B2A033"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1,361.00</w:t>
            </w:r>
          </w:p>
        </w:tc>
        <w:tc>
          <w:tcPr>
            <w:tcW w:w="0" w:type="auto"/>
            <w:noWrap/>
            <w:hideMark/>
          </w:tcPr>
          <w:p w14:paraId="5FB881E4"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1,145.10</w:t>
            </w:r>
          </w:p>
        </w:tc>
        <w:tc>
          <w:tcPr>
            <w:tcW w:w="0" w:type="auto"/>
            <w:noWrap/>
            <w:hideMark/>
          </w:tcPr>
          <w:p w14:paraId="445BFEF7"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1,225.66</w:t>
            </w:r>
          </w:p>
        </w:tc>
        <w:tc>
          <w:tcPr>
            <w:tcW w:w="0" w:type="auto"/>
            <w:noWrap/>
            <w:hideMark/>
          </w:tcPr>
          <w:p w14:paraId="185127B1"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1,209.93</w:t>
            </w:r>
          </w:p>
        </w:tc>
        <w:tc>
          <w:tcPr>
            <w:tcW w:w="0" w:type="auto"/>
            <w:noWrap/>
            <w:hideMark/>
          </w:tcPr>
          <w:p w14:paraId="7C6C8298"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Pr>
                <w:rFonts w:eastAsia="Times New Roman" w:cs="Times New Roman"/>
                <w:b/>
                <w:bCs/>
                <w:color w:val="000000"/>
                <w:sz w:val="12"/>
                <w:szCs w:val="16"/>
                <w:lang w:eastAsia="en-029"/>
              </w:rPr>
              <w:t>NA</w:t>
            </w:r>
          </w:p>
        </w:tc>
        <w:tc>
          <w:tcPr>
            <w:tcW w:w="0" w:type="auto"/>
            <w:noWrap/>
            <w:hideMark/>
          </w:tcPr>
          <w:p w14:paraId="69DB047E" w14:textId="77777777" w:rsidR="00003F03" w:rsidRPr="008661F6" w:rsidRDefault="00365B1B" w:rsidP="00003F0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-1.28</w:t>
            </w:r>
          </w:p>
        </w:tc>
      </w:tr>
      <w:tr w:rsidR="00D11502" w14:paraId="783E6589"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77B05C2F" w14:textId="77777777" w:rsidR="002E10AF" w:rsidRPr="008661F6" w:rsidRDefault="00365B1B" w:rsidP="002E10AF">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External</w:t>
            </w:r>
          </w:p>
        </w:tc>
        <w:tc>
          <w:tcPr>
            <w:tcW w:w="0" w:type="auto"/>
            <w:noWrap/>
            <w:hideMark/>
          </w:tcPr>
          <w:p w14:paraId="43CD7B06"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664.50</w:t>
            </w:r>
          </w:p>
        </w:tc>
        <w:tc>
          <w:tcPr>
            <w:tcW w:w="0" w:type="auto"/>
            <w:noWrap/>
            <w:hideMark/>
          </w:tcPr>
          <w:p w14:paraId="3CF56A13"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703.60</w:t>
            </w:r>
          </w:p>
        </w:tc>
        <w:tc>
          <w:tcPr>
            <w:tcW w:w="0" w:type="auto"/>
            <w:noWrap/>
            <w:hideMark/>
          </w:tcPr>
          <w:p w14:paraId="2DF32D06"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651.60</w:t>
            </w:r>
          </w:p>
        </w:tc>
        <w:tc>
          <w:tcPr>
            <w:tcW w:w="0" w:type="auto"/>
            <w:noWrap/>
            <w:hideMark/>
          </w:tcPr>
          <w:p w14:paraId="65131C04"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589.86</w:t>
            </w:r>
          </w:p>
        </w:tc>
        <w:tc>
          <w:tcPr>
            <w:tcW w:w="0" w:type="auto"/>
            <w:noWrap/>
            <w:hideMark/>
          </w:tcPr>
          <w:p w14:paraId="2926A151"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687.15</w:t>
            </w:r>
          </w:p>
        </w:tc>
        <w:tc>
          <w:tcPr>
            <w:tcW w:w="0" w:type="auto"/>
            <w:noWrap/>
            <w:hideMark/>
          </w:tcPr>
          <w:p w14:paraId="4A076E6D"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4734B6">
              <w:rPr>
                <w:rFonts w:eastAsia="Times New Roman" w:cs="Times New Roman"/>
                <w:b/>
                <w:bCs/>
                <w:color w:val="000000"/>
                <w:sz w:val="12"/>
                <w:szCs w:val="16"/>
                <w:lang w:eastAsia="en-029"/>
              </w:rPr>
              <w:t>NA</w:t>
            </w:r>
          </w:p>
        </w:tc>
        <w:tc>
          <w:tcPr>
            <w:tcW w:w="0" w:type="auto"/>
            <w:noWrap/>
            <w:hideMark/>
          </w:tcPr>
          <w:p w14:paraId="1A2428D0"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16.49</w:t>
            </w:r>
          </w:p>
        </w:tc>
      </w:tr>
      <w:tr w:rsidR="00D11502" w14:paraId="17EC5ECA"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0CCA3EE5" w14:textId="77777777" w:rsidR="002E10AF" w:rsidRPr="008661F6" w:rsidRDefault="00365B1B" w:rsidP="002E10AF">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Domestic</w:t>
            </w:r>
          </w:p>
        </w:tc>
        <w:tc>
          <w:tcPr>
            <w:tcW w:w="0" w:type="auto"/>
            <w:noWrap/>
            <w:hideMark/>
          </w:tcPr>
          <w:p w14:paraId="45DB9010"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528.60</w:t>
            </w:r>
          </w:p>
        </w:tc>
        <w:tc>
          <w:tcPr>
            <w:tcW w:w="0" w:type="auto"/>
            <w:noWrap/>
            <w:hideMark/>
          </w:tcPr>
          <w:p w14:paraId="13328A7C"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657.40</w:t>
            </w:r>
          </w:p>
        </w:tc>
        <w:tc>
          <w:tcPr>
            <w:tcW w:w="0" w:type="auto"/>
            <w:noWrap/>
            <w:hideMark/>
          </w:tcPr>
          <w:p w14:paraId="14F77444"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493.50</w:t>
            </w:r>
          </w:p>
        </w:tc>
        <w:tc>
          <w:tcPr>
            <w:tcW w:w="0" w:type="auto"/>
            <w:noWrap/>
            <w:hideMark/>
          </w:tcPr>
          <w:p w14:paraId="74341789"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635.80</w:t>
            </w:r>
          </w:p>
        </w:tc>
        <w:tc>
          <w:tcPr>
            <w:tcW w:w="0" w:type="auto"/>
            <w:noWrap/>
            <w:hideMark/>
          </w:tcPr>
          <w:p w14:paraId="0D77E3E0"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522.78</w:t>
            </w:r>
          </w:p>
        </w:tc>
        <w:tc>
          <w:tcPr>
            <w:tcW w:w="0" w:type="auto"/>
            <w:noWrap/>
            <w:hideMark/>
          </w:tcPr>
          <w:p w14:paraId="4B6DBAA7"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4734B6">
              <w:rPr>
                <w:rFonts w:eastAsia="Times New Roman" w:cs="Times New Roman"/>
                <w:b/>
                <w:bCs/>
                <w:color w:val="000000"/>
                <w:sz w:val="12"/>
                <w:szCs w:val="16"/>
                <w:lang w:eastAsia="en-029"/>
              </w:rPr>
              <w:t>NA</w:t>
            </w:r>
          </w:p>
        </w:tc>
        <w:tc>
          <w:tcPr>
            <w:tcW w:w="0" w:type="auto"/>
            <w:noWrap/>
            <w:hideMark/>
          </w:tcPr>
          <w:p w14:paraId="4B9E6DF0"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-17.78</w:t>
            </w:r>
          </w:p>
        </w:tc>
      </w:tr>
      <w:tr w:rsidR="00D11502" w14:paraId="5B4572DB"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61FD339D" w14:textId="77777777" w:rsidR="002E10AF" w:rsidRPr="008661F6" w:rsidRDefault="00365B1B" w:rsidP="002E10AF">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Interest</w:t>
            </w:r>
          </w:p>
        </w:tc>
        <w:tc>
          <w:tcPr>
            <w:tcW w:w="0" w:type="auto"/>
            <w:noWrap/>
            <w:hideMark/>
          </w:tcPr>
          <w:p w14:paraId="49B1EBC5"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148.80</w:t>
            </w:r>
          </w:p>
        </w:tc>
        <w:tc>
          <w:tcPr>
            <w:tcW w:w="0" w:type="auto"/>
            <w:noWrap/>
            <w:hideMark/>
          </w:tcPr>
          <w:p w14:paraId="49AEC752"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159.90</w:t>
            </w:r>
          </w:p>
        </w:tc>
        <w:tc>
          <w:tcPr>
            <w:tcW w:w="0" w:type="auto"/>
            <w:noWrap/>
            <w:hideMark/>
          </w:tcPr>
          <w:p w14:paraId="51217E10"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165.40</w:t>
            </w:r>
          </w:p>
        </w:tc>
        <w:tc>
          <w:tcPr>
            <w:tcW w:w="0" w:type="auto"/>
            <w:noWrap/>
            <w:hideMark/>
          </w:tcPr>
          <w:p w14:paraId="0CEE0D86"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154.93</w:t>
            </w:r>
          </w:p>
        </w:tc>
        <w:tc>
          <w:tcPr>
            <w:tcW w:w="0" w:type="auto"/>
            <w:noWrap/>
            <w:hideMark/>
          </w:tcPr>
          <w:p w14:paraId="23897BC3"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162.67</w:t>
            </w:r>
          </w:p>
        </w:tc>
        <w:tc>
          <w:tcPr>
            <w:tcW w:w="0" w:type="auto"/>
            <w:noWrap/>
            <w:hideMark/>
          </w:tcPr>
          <w:p w14:paraId="6C5DB683"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4734B6">
              <w:rPr>
                <w:rFonts w:eastAsia="Times New Roman" w:cs="Times New Roman"/>
                <w:b/>
                <w:bCs/>
                <w:color w:val="000000"/>
                <w:sz w:val="12"/>
                <w:szCs w:val="16"/>
                <w:lang w:eastAsia="en-029"/>
              </w:rPr>
              <w:t>NA</w:t>
            </w:r>
          </w:p>
        </w:tc>
        <w:tc>
          <w:tcPr>
            <w:tcW w:w="0" w:type="auto"/>
            <w:noWrap/>
            <w:hideMark/>
          </w:tcPr>
          <w:p w14:paraId="622FB527"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5.00</w:t>
            </w:r>
          </w:p>
        </w:tc>
      </w:tr>
      <w:tr w:rsidR="00D11502" w14:paraId="46757D98"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125425A9" w14:textId="77777777" w:rsidR="002E10AF" w:rsidRPr="008661F6" w:rsidRDefault="00365B1B" w:rsidP="002E10AF">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Principal</w:t>
            </w:r>
          </w:p>
        </w:tc>
        <w:tc>
          <w:tcPr>
            <w:tcW w:w="0" w:type="auto"/>
            <w:noWrap/>
            <w:hideMark/>
          </w:tcPr>
          <w:p w14:paraId="41357FAA"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1,044.30</w:t>
            </w:r>
          </w:p>
        </w:tc>
        <w:tc>
          <w:tcPr>
            <w:tcW w:w="0" w:type="auto"/>
            <w:noWrap/>
            <w:hideMark/>
          </w:tcPr>
          <w:p w14:paraId="3C6F6A3C"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1,201.10</w:t>
            </w:r>
          </w:p>
        </w:tc>
        <w:tc>
          <w:tcPr>
            <w:tcW w:w="0" w:type="auto"/>
            <w:noWrap/>
            <w:hideMark/>
          </w:tcPr>
          <w:p w14:paraId="194B5298"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979.70</w:t>
            </w:r>
          </w:p>
        </w:tc>
        <w:tc>
          <w:tcPr>
            <w:tcW w:w="0" w:type="auto"/>
            <w:noWrap/>
            <w:hideMark/>
          </w:tcPr>
          <w:p w14:paraId="79AC600A"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1,070.73</w:t>
            </w:r>
          </w:p>
        </w:tc>
        <w:tc>
          <w:tcPr>
            <w:tcW w:w="0" w:type="auto"/>
            <w:noWrap/>
            <w:hideMark/>
          </w:tcPr>
          <w:p w14:paraId="64ED6321"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1,047.26</w:t>
            </w:r>
          </w:p>
        </w:tc>
        <w:tc>
          <w:tcPr>
            <w:tcW w:w="0" w:type="auto"/>
            <w:noWrap/>
            <w:hideMark/>
          </w:tcPr>
          <w:p w14:paraId="0200E0CD"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4734B6">
              <w:rPr>
                <w:rFonts w:eastAsia="Times New Roman" w:cs="Times New Roman"/>
                <w:b/>
                <w:bCs/>
                <w:color w:val="000000"/>
                <w:sz w:val="12"/>
                <w:szCs w:val="16"/>
                <w:lang w:eastAsia="en-029"/>
              </w:rPr>
              <w:t>NA</w:t>
            </w:r>
          </w:p>
        </w:tc>
        <w:tc>
          <w:tcPr>
            <w:tcW w:w="0" w:type="auto"/>
            <w:noWrap/>
            <w:hideMark/>
          </w:tcPr>
          <w:p w14:paraId="76BCDCF4"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-2.19</w:t>
            </w:r>
          </w:p>
        </w:tc>
      </w:tr>
      <w:tr w:rsidR="00D11502" w14:paraId="0CE21AD6"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246011DA" w14:textId="77777777" w:rsidR="002E10AF" w:rsidRPr="008661F6" w:rsidRDefault="00365B1B" w:rsidP="002E10AF">
            <w:pPr>
              <w:jc w:val="center"/>
              <w:rPr>
                <w:rFonts w:eastAsia="Times New Roman" w:cs="Times New Roman"/>
                <w:color w:val="000000"/>
                <w:sz w:val="12"/>
                <w:szCs w:val="16"/>
                <w:lang w:eastAsia="en-029"/>
              </w:rPr>
            </w:pPr>
            <w:r w:rsidRPr="008661F6">
              <w:rPr>
                <w:rFonts w:eastAsia="Times New Roman" w:cs="Times New Roman"/>
                <w:color w:val="000000"/>
                <w:sz w:val="12"/>
                <w:szCs w:val="16"/>
                <w:lang w:eastAsia="en-029"/>
              </w:rPr>
              <w:t>Interest Rate Structure (%)</w:t>
            </w:r>
          </w:p>
        </w:tc>
        <w:tc>
          <w:tcPr>
            <w:tcW w:w="0" w:type="auto"/>
            <w:noWrap/>
            <w:hideMark/>
          </w:tcPr>
          <w:p w14:paraId="1499A5AD" w14:textId="77777777" w:rsidR="002E10AF" w:rsidRPr="008661F6" w:rsidRDefault="002E10AF"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p>
        </w:tc>
        <w:tc>
          <w:tcPr>
            <w:tcW w:w="0" w:type="auto"/>
            <w:noWrap/>
            <w:hideMark/>
          </w:tcPr>
          <w:p w14:paraId="65758A47" w14:textId="77777777" w:rsidR="002E10AF" w:rsidRPr="008661F6" w:rsidRDefault="002E10AF"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p>
        </w:tc>
        <w:tc>
          <w:tcPr>
            <w:tcW w:w="0" w:type="auto"/>
            <w:noWrap/>
            <w:hideMark/>
          </w:tcPr>
          <w:p w14:paraId="6946BAFB" w14:textId="77777777" w:rsidR="002E10AF" w:rsidRPr="008661F6" w:rsidRDefault="002E10AF"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p>
        </w:tc>
        <w:tc>
          <w:tcPr>
            <w:tcW w:w="0" w:type="auto"/>
            <w:noWrap/>
            <w:hideMark/>
          </w:tcPr>
          <w:p w14:paraId="59800C51" w14:textId="77777777" w:rsidR="002E10AF" w:rsidRPr="008661F6" w:rsidRDefault="002E10AF"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p>
        </w:tc>
        <w:tc>
          <w:tcPr>
            <w:tcW w:w="0" w:type="auto"/>
            <w:noWrap/>
            <w:hideMark/>
          </w:tcPr>
          <w:p w14:paraId="2065772A" w14:textId="77777777" w:rsidR="002E10AF" w:rsidRPr="008661F6" w:rsidRDefault="002E10AF"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p>
        </w:tc>
        <w:tc>
          <w:tcPr>
            <w:tcW w:w="0" w:type="auto"/>
            <w:noWrap/>
            <w:hideMark/>
          </w:tcPr>
          <w:p w14:paraId="6F9943C5" w14:textId="77777777" w:rsidR="002E10AF" w:rsidRPr="008661F6" w:rsidRDefault="002E10AF"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p>
        </w:tc>
        <w:tc>
          <w:tcPr>
            <w:tcW w:w="0" w:type="auto"/>
            <w:noWrap/>
            <w:hideMark/>
          </w:tcPr>
          <w:p w14:paraId="65C9E1A3"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 </w:t>
            </w:r>
          </w:p>
        </w:tc>
      </w:tr>
      <w:tr w:rsidR="00D11502" w14:paraId="14FF700A"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592C3771" w14:textId="77777777" w:rsidR="002E10AF" w:rsidRPr="008661F6" w:rsidRDefault="00365B1B" w:rsidP="002E10AF">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Fixed-Rate</w:t>
            </w:r>
          </w:p>
        </w:tc>
        <w:tc>
          <w:tcPr>
            <w:tcW w:w="0" w:type="auto"/>
            <w:noWrap/>
            <w:hideMark/>
          </w:tcPr>
          <w:p w14:paraId="1057D0A1"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93.77</w:t>
            </w:r>
          </w:p>
        </w:tc>
        <w:tc>
          <w:tcPr>
            <w:tcW w:w="0" w:type="auto"/>
            <w:noWrap/>
            <w:hideMark/>
          </w:tcPr>
          <w:p w14:paraId="13EB7D85"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92.89</w:t>
            </w:r>
          </w:p>
        </w:tc>
        <w:tc>
          <w:tcPr>
            <w:tcW w:w="0" w:type="auto"/>
            <w:noWrap/>
            <w:hideMark/>
          </w:tcPr>
          <w:p w14:paraId="4C3B004D"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91.97</w:t>
            </w:r>
          </w:p>
        </w:tc>
        <w:tc>
          <w:tcPr>
            <w:tcW w:w="0" w:type="auto"/>
            <w:noWrap/>
            <w:hideMark/>
          </w:tcPr>
          <w:p w14:paraId="0E877187"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89.10</w:t>
            </w:r>
          </w:p>
        </w:tc>
        <w:tc>
          <w:tcPr>
            <w:tcW w:w="0" w:type="auto"/>
            <w:noWrap/>
            <w:hideMark/>
          </w:tcPr>
          <w:p w14:paraId="7D1AFC90"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83.90</w:t>
            </w:r>
          </w:p>
        </w:tc>
        <w:tc>
          <w:tcPr>
            <w:tcW w:w="0" w:type="auto"/>
            <w:noWrap/>
            <w:hideMark/>
          </w:tcPr>
          <w:p w14:paraId="0F582D2E"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4734B6">
              <w:rPr>
                <w:rFonts w:eastAsia="Times New Roman" w:cs="Times New Roman"/>
                <w:b/>
                <w:bCs/>
                <w:color w:val="000000"/>
                <w:sz w:val="12"/>
                <w:szCs w:val="16"/>
                <w:lang w:eastAsia="en-029"/>
              </w:rPr>
              <w:t>NA</w:t>
            </w:r>
          </w:p>
        </w:tc>
        <w:tc>
          <w:tcPr>
            <w:tcW w:w="0" w:type="auto"/>
            <w:noWrap/>
            <w:hideMark/>
          </w:tcPr>
          <w:p w14:paraId="44CA03C5"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-5.84</w:t>
            </w:r>
          </w:p>
        </w:tc>
      </w:tr>
      <w:tr w:rsidR="00D11502" w14:paraId="41A6010C"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2679F073" w14:textId="77777777" w:rsidR="002E10AF" w:rsidRPr="008661F6" w:rsidRDefault="00365B1B" w:rsidP="002E10AF">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 xml:space="preserve">Variable Rate </w:t>
            </w:r>
          </w:p>
        </w:tc>
        <w:tc>
          <w:tcPr>
            <w:tcW w:w="0" w:type="auto"/>
            <w:noWrap/>
            <w:hideMark/>
          </w:tcPr>
          <w:p w14:paraId="2F0A23D3"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5.68</w:t>
            </w:r>
          </w:p>
        </w:tc>
        <w:tc>
          <w:tcPr>
            <w:tcW w:w="0" w:type="auto"/>
            <w:noWrap/>
            <w:hideMark/>
          </w:tcPr>
          <w:p w14:paraId="330D2A66"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6.70</w:t>
            </w:r>
          </w:p>
        </w:tc>
        <w:tc>
          <w:tcPr>
            <w:tcW w:w="0" w:type="auto"/>
            <w:noWrap/>
            <w:hideMark/>
          </w:tcPr>
          <w:p w14:paraId="1B204F3E"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7.62</w:t>
            </w:r>
          </w:p>
        </w:tc>
        <w:tc>
          <w:tcPr>
            <w:tcW w:w="0" w:type="auto"/>
            <w:noWrap/>
            <w:hideMark/>
          </w:tcPr>
          <w:p w14:paraId="418CBC3D"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8.30</w:t>
            </w:r>
          </w:p>
        </w:tc>
        <w:tc>
          <w:tcPr>
            <w:tcW w:w="0" w:type="auto"/>
            <w:noWrap/>
            <w:hideMark/>
          </w:tcPr>
          <w:p w14:paraId="4F1E4B46"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12.70</w:t>
            </w:r>
          </w:p>
        </w:tc>
        <w:tc>
          <w:tcPr>
            <w:tcW w:w="0" w:type="auto"/>
            <w:noWrap/>
            <w:hideMark/>
          </w:tcPr>
          <w:p w14:paraId="583A9179"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4734B6">
              <w:rPr>
                <w:rFonts w:eastAsia="Times New Roman" w:cs="Times New Roman"/>
                <w:b/>
                <w:bCs/>
                <w:color w:val="000000"/>
                <w:sz w:val="12"/>
                <w:szCs w:val="16"/>
                <w:lang w:eastAsia="en-029"/>
              </w:rPr>
              <w:t>NA</w:t>
            </w:r>
          </w:p>
        </w:tc>
        <w:tc>
          <w:tcPr>
            <w:tcW w:w="0" w:type="auto"/>
            <w:noWrap/>
            <w:hideMark/>
          </w:tcPr>
          <w:p w14:paraId="59EBAF04"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53.01</w:t>
            </w:r>
          </w:p>
        </w:tc>
      </w:tr>
      <w:tr w:rsidR="00D11502" w14:paraId="43178BD5"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188305F9" w14:textId="77777777" w:rsidR="002E10AF" w:rsidRPr="008661F6" w:rsidRDefault="00365B1B" w:rsidP="002E10AF">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Interest-Free</w:t>
            </w:r>
          </w:p>
        </w:tc>
        <w:tc>
          <w:tcPr>
            <w:tcW w:w="0" w:type="auto"/>
            <w:noWrap/>
            <w:hideMark/>
          </w:tcPr>
          <w:p w14:paraId="7588E869"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0.56</w:t>
            </w:r>
          </w:p>
        </w:tc>
        <w:tc>
          <w:tcPr>
            <w:tcW w:w="0" w:type="auto"/>
            <w:noWrap/>
            <w:hideMark/>
          </w:tcPr>
          <w:p w14:paraId="204904E0"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0.42</w:t>
            </w:r>
          </w:p>
        </w:tc>
        <w:tc>
          <w:tcPr>
            <w:tcW w:w="0" w:type="auto"/>
            <w:noWrap/>
            <w:hideMark/>
          </w:tcPr>
          <w:p w14:paraId="2C4CBB40"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0.41</w:t>
            </w:r>
          </w:p>
        </w:tc>
        <w:tc>
          <w:tcPr>
            <w:tcW w:w="0" w:type="auto"/>
            <w:noWrap/>
            <w:hideMark/>
          </w:tcPr>
          <w:p w14:paraId="16B850BB"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2.60</w:t>
            </w:r>
          </w:p>
        </w:tc>
        <w:tc>
          <w:tcPr>
            <w:tcW w:w="0" w:type="auto"/>
            <w:noWrap/>
            <w:hideMark/>
          </w:tcPr>
          <w:p w14:paraId="37FDDE8A"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3.40</w:t>
            </w:r>
          </w:p>
        </w:tc>
        <w:tc>
          <w:tcPr>
            <w:tcW w:w="0" w:type="auto"/>
            <w:noWrap/>
            <w:hideMark/>
          </w:tcPr>
          <w:p w14:paraId="214F2E59"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4734B6">
              <w:rPr>
                <w:rFonts w:eastAsia="Times New Roman" w:cs="Times New Roman"/>
                <w:b/>
                <w:bCs/>
                <w:color w:val="000000"/>
                <w:sz w:val="12"/>
                <w:szCs w:val="16"/>
                <w:lang w:eastAsia="en-029"/>
              </w:rPr>
              <w:t>NA</w:t>
            </w:r>
          </w:p>
        </w:tc>
        <w:tc>
          <w:tcPr>
            <w:tcW w:w="0" w:type="auto"/>
            <w:noWrap/>
            <w:hideMark/>
          </w:tcPr>
          <w:p w14:paraId="75B1DA7B"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30.77</w:t>
            </w:r>
          </w:p>
        </w:tc>
      </w:tr>
      <w:tr w:rsidR="00D11502" w14:paraId="651BD608"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795C3AA0" w14:textId="77777777" w:rsidR="002E10AF" w:rsidRPr="008661F6" w:rsidRDefault="00365B1B" w:rsidP="002E10AF">
            <w:pPr>
              <w:jc w:val="center"/>
              <w:rPr>
                <w:rFonts w:eastAsia="Times New Roman" w:cs="Times New Roman"/>
                <w:color w:val="000000"/>
                <w:sz w:val="12"/>
                <w:szCs w:val="16"/>
                <w:lang w:eastAsia="en-029"/>
              </w:rPr>
            </w:pPr>
            <w:r w:rsidRPr="008661F6">
              <w:rPr>
                <w:rFonts w:eastAsia="Times New Roman" w:cs="Times New Roman"/>
                <w:color w:val="000000"/>
                <w:sz w:val="12"/>
                <w:szCs w:val="16"/>
                <w:lang w:eastAsia="en-029"/>
              </w:rPr>
              <w:t>Risk Indicators</w:t>
            </w:r>
          </w:p>
        </w:tc>
        <w:tc>
          <w:tcPr>
            <w:tcW w:w="0" w:type="auto"/>
            <w:noWrap/>
            <w:hideMark/>
          </w:tcPr>
          <w:p w14:paraId="6241FA91" w14:textId="77777777" w:rsidR="002E10AF" w:rsidRPr="008661F6" w:rsidRDefault="002E10AF"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p>
        </w:tc>
        <w:tc>
          <w:tcPr>
            <w:tcW w:w="0" w:type="auto"/>
            <w:noWrap/>
            <w:hideMark/>
          </w:tcPr>
          <w:p w14:paraId="183682FE" w14:textId="77777777" w:rsidR="002E10AF" w:rsidRPr="008661F6" w:rsidRDefault="002E10AF"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p>
        </w:tc>
        <w:tc>
          <w:tcPr>
            <w:tcW w:w="0" w:type="auto"/>
            <w:noWrap/>
            <w:hideMark/>
          </w:tcPr>
          <w:p w14:paraId="7E4BF67A" w14:textId="77777777" w:rsidR="002E10AF" w:rsidRPr="008661F6" w:rsidRDefault="002E10AF"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p>
        </w:tc>
        <w:tc>
          <w:tcPr>
            <w:tcW w:w="0" w:type="auto"/>
            <w:noWrap/>
            <w:hideMark/>
          </w:tcPr>
          <w:p w14:paraId="433BACF7" w14:textId="77777777" w:rsidR="002E10AF" w:rsidRPr="008661F6" w:rsidRDefault="002E10AF"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p>
        </w:tc>
        <w:tc>
          <w:tcPr>
            <w:tcW w:w="0" w:type="auto"/>
            <w:noWrap/>
            <w:hideMark/>
          </w:tcPr>
          <w:p w14:paraId="6367694D" w14:textId="77777777" w:rsidR="002E10AF" w:rsidRPr="008661F6" w:rsidRDefault="002E10AF"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p>
        </w:tc>
        <w:tc>
          <w:tcPr>
            <w:tcW w:w="0" w:type="auto"/>
            <w:noWrap/>
            <w:hideMark/>
          </w:tcPr>
          <w:p w14:paraId="113FAC8E" w14:textId="77777777" w:rsidR="002E10AF" w:rsidRPr="008661F6" w:rsidRDefault="002E10AF"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p>
        </w:tc>
        <w:tc>
          <w:tcPr>
            <w:tcW w:w="0" w:type="auto"/>
            <w:noWrap/>
            <w:hideMark/>
          </w:tcPr>
          <w:p w14:paraId="52CB878C"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 </w:t>
            </w:r>
          </w:p>
        </w:tc>
      </w:tr>
      <w:tr w:rsidR="00D11502" w14:paraId="45BBCDE6"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77EED861" w14:textId="77777777" w:rsidR="002E10AF" w:rsidRPr="008661F6" w:rsidRDefault="00365B1B" w:rsidP="002E10AF">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ATM (Years)</w:t>
            </w:r>
          </w:p>
        </w:tc>
        <w:tc>
          <w:tcPr>
            <w:tcW w:w="0" w:type="auto"/>
            <w:noWrap/>
            <w:hideMark/>
          </w:tcPr>
          <w:p w14:paraId="20EFFB86"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5.00</w:t>
            </w:r>
          </w:p>
        </w:tc>
        <w:tc>
          <w:tcPr>
            <w:tcW w:w="0" w:type="auto"/>
            <w:noWrap/>
            <w:hideMark/>
          </w:tcPr>
          <w:p w14:paraId="319107F1"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5.40</w:t>
            </w:r>
          </w:p>
        </w:tc>
        <w:tc>
          <w:tcPr>
            <w:tcW w:w="0" w:type="auto"/>
            <w:noWrap/>
            <w:hideMark/>
          </w:tcPr>
          <w:p w14:paraId="23EA6E3C"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5.13</w:t>
            </w:r>
          </w:p>
        </w:tc>
        <w:tc>
          <w:tcPr>
            <w:tcW w:w="0" w:type="auto"/>
            <w:noWrap/>
            <w:hideMark/>
          </w:tcPr>
          <w:p w14:paraId="7393CAC9"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5.68</w:t>
            </w:r>
          </w:p>
        </w:tc>
        <w:tc>
          <w:tcPr>
            <w:tcW w:w="0" w:type="auto"/>
            <w:noWrap/>
            <w:hideMark/>
          </w:tcPr>
          <w:p w14:paraId="07D77CCE"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6.23</w:t>
            </w:r>
          </w:p>
        </w:tc>
        <w:tc>
          <w:tcPr>
            <w:tcW w:w="0" w:type="auto"/>
            <w:noWrap/>
            <w:hideMark/>
          </w:tcPr>
          <w:p w14:paraId="70DBA102"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4734B6">
              <w:rPr>
                <w:rFonts w:eastAsia="Times New Roman" w:cs="Times New Roman"/>
                <w:b/>
                <w:bCs/>
                <w:color w:val="000000"/>
                <w:sz w:val="12"/>
                <w:szCs w:val="16"/>
                <w:lang w:eastAsia="en-029"/>
              </w:rPr>
              <w:t>NA</w:t>
            </w:r>
          </w:p>
        </w:tc>
        <w:tc>
          <w:tcPr>
            <w:tcW w:w="0" w:type="auto"/>
            <w:noWrap/>
            <w:hideMark/>
          </w:tcPr>
          <w:p w14:paraId="34BCB014"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9.68</w:t>
            </w:r>
          </w:p>
        </w:tc>
      </w:tr>
      <w:tr w:rsidR="00D11502" w14:paraId="2172B796" w14:textId="77777777" w:rsidTr="00F23B1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50D6DA34" w14:textId="77777777" w:rsidR="002E10AF" w:rsidRPr="008661F6" w:rsidRDefault="00365B1B" w:rsidP="002E10AF">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Maturing in 1 year (%)</w:t>
            </w:r>
          </w:p>
        </w:tc>
        <w:tc>
          <w:tcPr>
            <w:tcW w:w="0" w:type="auto"/>
            <w:noWrap/>
            <w:hideMark/>
          </w:tcPr>
          <w:p w14:paraId="5D7DDB13"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24.66</w:t>
            </w:r>
          </w:p>
        </w:tc>
        <w:tc>
          <w:tcPr>
            <w:tcW w:w="0" w:type="auto"/>
            <w:noWrap/>
            <w:hideMark/>
          </w:tcPr>
          <w:p w14:paraId="404A4E1B"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18.30</w:t>
            </w:r>
          </w:p>
        </w:tc>
        <w:tc>
          <w:tcPr>
            <w:tcW w:w="0" w:type="auto"/>
            <w:noWrap/>
            <w:hideMark/>
          </w:tcPr>
          <w:p w14:paraId="7DA3325A"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18.24</w:t>
            </w:r>
          </w:p>
        </w:tc>
        <w:tc>
          <w:tcPr>
            <w:tcW w:w="0" w:type="auto"/>
            <w:noWrap/>
            <w:hideMark/>
          </w:tcPr>
          <w:p w14:paraId="78CFB103"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22.30</w:t>
            </w:r>
          </w:p>
        </w:tc>
        <w:tc>
          <w:tcPr>
            <w:tcW w:w="0" w:type="auto"/>
            <w:noWrap/>
            <w:hideMark/>
          </w:tcPr>
          <w:p w14:paraId="52C6A5EB"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16.03</w:t>
            </w:r>
          </w:p>
        </w:tc>
        <w:tc>
          <w:tcPr>
            <w:tcW w:w="0" w:type="auto"/>
            <w:noWrap/>
            <w:hideMark/>
          </w:tcPr>
          <w:p w14:paraId="29D7FC84"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4734B6">
              <w:rPr>
                <w:rFonts w:eastAsia="Times New Roman" w:cs="Times New Roman"/>
                <w:b/>
                <w:bCs/>
                <w:color w:val="000000"/>
                <w:sz w:val="12"/>
                <w:szCs w:val="16"/>
                <w:lang w:eastAsia="en-029"/>
              </w:rPr>
              <w:t>NA</w:t>
            </w:r>
          </w:p>
        </w:tc>
        <w:tc>
          <w:tcPr>
            <w:tcW w:w="0" w:type="auto"/>
            <w:noWrap/>
            <w:hideMark/>
          </w:tcPr>
          <w:p w14:paraId="5DFF2D1E"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-28.12</w:t>
            </w:r>
          </w:p>
        </w:tc>
      </w:tr>
      <w:tr w:rsidR="00D11502" w14:paraId="161F7A91" w14:textId="77777777" w:rsidTr="00F23B1D">
        <w:trPr>
          <w:trHeight w:val="252"/>
        </w:trPr>
        <w:tc>
          <w:tcPr>
            <w:cnfStyle w:val="001000000000" w:firstRow="0" w:lastRow="0" w:firstColumn="1" w:lastColumn="0" w:oddVBand="0" w:evenVBand="0" w:oddHBand="0" w:evenHBand="0" w:firstRowFirstColumn="0" w:firstRowLastColumn="0" w:lastRowFirstColumn="0" w:lastRowLastColumn="0"/>
            <w:tcW w:w="0" w:type="auto"/>
            <w:hideMark/>
          </w:tcPr>
          <w:p w14:paraId="48F9A73F" w14:textId="77777777" w:rsidR="002E10AF" w:rsidRPr="008661F6" w:rsidRDefault="00365B1B" w:rsidP="002E10AF">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ATR (Years)</w:t>
            </w:r>
          </w:p>
        </w:tc>
        <w:tc>
          <w:tcPr>
            <w:tcW w:w="0" w:type="auto"/>
            <w:noWrap/>
            <w:hideMark/>
          </w:tcPr>
          <w:p w14:paraId="2C91E6BE"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4.54</w:t>
            </w:r>
          </w:p>
        </w:tc>
        <w:tc>
          <w:tcPr>
            <w:tcW w:w="0" w:type="auto"/>
            <w:noWrap/>
            <w:hideMark/>
          </w:tcPr>
          <w:p w14:paraId="744DCC1B"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4.90</w:t>
            </w:r>
          </w:p>
        </w:tc>
        <w:tc>
          <w:tcPr>
            <w:tcW w:w="0" w:type="auto"/>
            <w:noWrap/>
            <w:hideMark/>
          </w:tcPr>
          <w:p w14:paraId="679C13C7"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5.13</w:t>
            </w:r>
          </w:p>
        </w:tc>
        <w:tc>
          <w:tcPr>
            <w:tcW w:w="0" w:type="auto"/>
            <w:noWrap/>
            <w:hideMark/>
          </w:tcPr>
          <w:p w14:paraId="69AFAFC1"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5.55</w:t>
            </w:r>
          </w:p>
        </w:tc>
        <w:tc>
          <w:tcPr>
            <w:tcW w:w="0" w:type="auto"/>
            <w:noWrap/>
            <w:hideMark/>
          </w:tcPr>
          <w:p w14:paraId="13F65FA0"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6.06</w:t>
            </w:r>
          </w:p>
        </w:tc>
        <w:tc>
          <w:tcPr>
            <w:tcW w:w="0" w:type="auto"/>
            <w:noWrap/>
            <w:hideMark/>
          </w:tcPr>
          <w:p w14:paraId="6DBF2ECD"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2"/>
                <w:szCs w:val="16"/>
                <w:lang w:eastAsia="en-029"/>
              </w:rPr>
            </w:pPr>
            <w:r w:rsidRPr="004734B6">
              <w:rPr>
                <w:rFonts w:eastAsia="Times New Roman" w:cs="Times New Roman"/>
                <w:b/>
                <w:bCs/>
                <w:color w:val="000000"/>
                <w:sz w:val="12"/>
                <w:szCs w:val="16"/>
                <w:lang w:eastAsia="en-029"/>
              </w:rPr>
              <w:t>NA</w:t>
            </w:r>
          </w:p>
        </w:tc>
        <w:tc>
          <w:tcPr>
            <w:tcW w:w="0" w:type="auto"/>
            <w:noWrap/>
            <w:hideMark/>
          </w:tcPr>
          <w:p w14:paraId="5A7358B8" w14:textId="77777777" w:rsidR="002E10AF" w:rsidRPr="008661F6" w:rsidRDefault="00365B1B" w:rsidP="002E10AF">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9.19</w:t>
            </w:r>
          </w:p>
        </w:tc>
      </w:tr>
      <w:tr w:rsidR="00D11502" w14:paraId="53B4A0F2" w14:textId="77777777" w:rsidTr="00F23B1D">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0" w:type="auto"/>
            <w:hideMark/>
          </w:tcPr>
          <w:p w14:paraId="50ADB97B" w14:textId="77777777" w:rsidR="002E10AF" w:rsidRPr="008661F6" w:rsidRDefault="00365B1B" w:rsidP="002E10AF">
            <w:pPr>
              <w:jc w:val="center"/>
              <w:rPr>
                <w:rFonts w:eastAsia="Times New Roman" w:cs="Times New Roman"/>
                <w:color w:val="000000"/>
                <w:sz w:val="12"/>
                <w:szCs w:val="16"/>
                <w:lang w:eastAsia="en-029"/>
              </w:rPr>
            </w:pPr>
            <w:r w:rsidRPr="008661F6">
              <w:rPr>
                <w:rFonts w:eastAsia="Times New Roman" w:cs="Times New Roman"/>
                <w:b w:val="0"/>
                <w:color w:val="000000"/>
                <w:sz w:val="12"/>
                <w:szCs w:val="16"/>
                <w:lang w:eastAsia="en-029"/>
              </w:rPr>
              <w:t>WACD (%)</w:t>
            </w:r>
          </w:p>
        </w:tc>
        <w:tc>
          <w:tcPr>
            <w:tcW w:w="0" w:type="auto"/>
            <w:noWrap/>
            <w:hideMark/>
          </w:tcPr>
          <w:p w14:paraId="33B1955A"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5.26</w:t>
            </w:r>
          </w:p>
        </w:tc>
        <w:tc>
          <w:tcPr>
            <w:tcW w:w="0" w:type="auto"/>
            <w:noWrap/>
            <w:hideMark/>
          </w:tcPr>
          <w:p w14:paraId="3EBB663A"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5.30</w:t>
            </w:r>
          </w:p>
        </w:tc>
        <w:tc>
          <w:tcPr>
            <w:tcW w:w="0" w:type="auto"/>
            <w:noWrap/>
            <w:hideMark/>
          </w:tcPr>
          <w:p w14:paraId="364D9251"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5.16</w:t>
            </w:r>
          </w:p>
        </w:tc>
        <w:tc>
          <w:tcPr>
            <w:tcW w:w="0" w:type="auto"/>
            <w:noWrap/>
            <w:hideMark/>
          </w:tcPr>
          <w:p w14:paraId="58F2FFB2"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4.85</w:t>
            </w:r>
          </w:p>
        </w:tc>
        <w:tc>
          <w:tcPr>
            <w:tcW w:w="0" w:type="auto"/>
            <w:noWrap/>
            <w:hideMark/>
          </w:tcPr>
          <w:p w14:paraId="7D483A6F"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2"/>
                <w:szCs w:val="16"/>
                <w:lang w:eastAsia="en-029"/>
              </w:rPr>
            </w:pPr>
            <w:r w:rsidRPr="008661F6">
              <w:rPr>
                <w:rFonts w:eastAsia="Times New Roman" w:cs="Times New Roman"/>
                <w:sz w:val="12"/>
                <w:szCs w:val="16"/>
                <w:lang w:eastAsia="en-029"/>
              </w:rPr>
              <w:t>4.49</w:t>
            </w:r>
          </w:p>
        </w:tc>
        <w:tc>
          <w:tcPr>
            <w:tcW w:w="0" w:type="auto"/>
            <w:noWrap/>
            <w:hideMark/>
          </w:tcPr>
          <w:p w14:paraId="56F6AE4E"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4734B6">
              <w:rPr>
                <w:rFonts w:eastAsia="Times New Roman" w:cs="Times New Roman"/>
                <w:b/>
                <w:bCs/>
                <w:color w:val="000000"/>
                <w:sz w:val="12"/>
                <w:szCs w:val="16"/>
                <w:lang w:eastAsia="en-029"/>
              </w:rPr>
              <w:t>NA</w:t>
            </w:r>
          </w:p>
        </w:tc>
        <w:tc>
          <w:tcPr>
            <w:tcW w:w="0" w:type="auto"/>
            <w:noWrap/>
            <w:hideMark/>
          </w:tcPr>
          <w:p w14:paraId="5089DB73" w14:textId="77777777" w:rsidR="002E10AF" w:rsidRPr="008661F6" w:rsidRDefault="00365B1B" w:rsidP="002E10AF">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12"/>
                <w:szCs w:val="16"/>
                <w:lang w:eastAsia="en-029"/>
              </w:rPr>
            </w:pPr>
            <w:r w:rsidRPr="008661F6">
              <w:rPr>
                <w:rFonts w:eastAsia="Times New Roman" w:cs="Times New Roman"/>
                <w:b/>
                <w:bCs/>
                <w:color w:val="000000"/>
                <w:sz w:val="12"/>
                <w:szCs w:val="16"/>
                <w:lang w:eastAsia="en-029"/>
              </w:rPr>
              <w:t>-7.42</w:t>
            </w:r>
          </w:p>
        </w:tc>
      </w:tr>
    </w:tbl>
    <w:p w14:paraId="538F3968" w14:textId="77777777" w:rsidR="00A85A8E" w:rsidRPr="00BB3D52" w:rsidRDefault="00A85A8E" w:rsidP="00F23B1D">
      <w:pPr>
        <w:spacing w:line="480" w:lineRule="auto"/>
        <w:rPr>
          <w:rFonts w:cs="Times New Roman"/>
          <w:noProof/>
          <w:sz w:val="24"/>
          <w:szCs w:val="24"/>
          <w:lang w:val="en-US"/>
        </w:rPr>
      </w:pPr>
    </w:p>
    <w:sectPr w:rsidR="00A85A8E" w:rsidRPr="00BB3D52" w:rsidSect="00BB3D52">
      <w:type w:val="continuous"/>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4AD405" w14:textId="77777777" w:rsidR="005C750A" w:rsidRDefault="005C750A">
      <w:pPr>
        <w:spacing w:after="0" w:line="240" w:lineRule="auto"/>
      </w:pPr>
      <w:r>
        <w:separator/>
      </w:r>
    </w:p>
  </w:endnote>
  <w:endnote w:type="continuationSeparator" w:id="0">
    <w:p w14:paraId="6E33DD2B" w14:textId="77777777" w:rsidR="005C750A" w:rsidRDefault="005C7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oudy Old Style">
    <w:panose1 w:val="0202050205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3548738"/>
      <w:docPartObj>
        <w:docPartGallery w:val="Page Numbers (Bottom of Page)"/>
        <w:docPartUnique/>
      </w:docPartObj>
    </w:sdtPr>
    <w:sdtEndPr>
      <w:rPr>
        <w:noProof/>
      </w:rPr>
    </w:sdtEndPr>
    <w:sdtContent>
      <w:p w14:paraId="2C017943" w14:textId="5E87051A" w:rsidR="005C750A" w:rsidRDefault="005C750A">
        <w:pPr>
          <w:pStyle w:val="Footer"/>
          <w:jc w:val="center"/>
        </w:pPr>
        <w:r>
          <w:fldChar w:fldCharType="begin"/>
        </w:r>
        <w:r>
          <w:instrText xml:space="preserve"> PAGE   \* MERGEFORMAT </w:instrText>
        </w:r>
        <w:r>
          <w:fldChar w:fldCharType="separate"/>
        </w:r>
        <w:r w:rsidR="002E1637">
          <w:rPr>
            <w:noProof/>
          </w:rPr>
          <w:t>10</w:t>
        </w:r>
        <w:r>
          <w:rPr>
            <w:noProof/>
          </w:rPr>
          <w:fldChar w:fldCharType="end"/>
        </w:r>
      </w:p>
    </w:sdtContent>
  </w:sdt>
  <w:p w14:paraId="4F95DA27" w14:textId="77777777" w:rsidR="005C750A" w:rsidRDefault="005C75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1EF2D6" w14:textId="77777777" w:rsidR="005C750A" w:rsidRDefault="005C750A" w:rsidP="001A1178">
      <w:pPr>
        <w:spacing w:after="0"/>
      </w:pPr>
      <w:r>
        <w:separator/>
      </w:r>
    </w:p>
  </w:footnote>
  <w:footnote w:type="continuationSeparator" w:id="0">
    <w:p w14:paraId="30BA9B70" w14:textId="77777777" w:rsidR="005C750A" w:rsidRDefault="005C750A" w:rsidP="001A1178">
      <w:pPr>
        <w:spacing w:after="0"/>
      </w:pPr>
      <w:r>
        <w:continuationSeparator/>
      </w:r>
    </w:p>
  </w:footnote>
  <w:footnote w:type="continuationNotice" w:id="1">
    <w:p w14:paraId="05374CFD" w14:textId="77777777" w:rsidR="005C750A" w:rsidRDefault="005C750A" w:rsidP="001A1178">
      <w:pPr>
        <w:spacing w:after="0"/>
      </w:pPr>
    </w:p>
  </w:footnote>
  <w:footnote w:id="2">
    <w:p w14:paraId="49907C22" w14:textId="77777777" w:rsidR="005C750A" w:rsidRPr="002774ED" w:rsidRDefault="005C750A">
      <w:pPr>
        <w:pStyle w:val="FootnoteText"/>
        <w:rPr>
          <w:lang w:val="en-US"/>
        </w:rPr>
      </w:pPr>
      <w:r>
        <w:rPr>
          <w:rStyle w:val="FootnoteReference"/>
        </w:rPr>
        <w:footnoteRef/>
      </w:r>
      <w:r>
        <w:rPr>
          <w:lang w:val="en-US"/>
        </w:rPr>
        <w:t xml:space="preserve">Debt service in the Debt Portfolio Review is on an accrual basis. The analysis includes rollover security financing. </w:t>
      </w:r>
    </w:p>
  </w:footnote>
  <w:footnote w:id="3">
    <w:p w14:paraId="46F70F20" w14:textId="77777777" w:rsidR="005C750A" w:rsidRDefault="005C750A">
      <w:pPr>
        <w:pStyle w:val="FootnoteText"/>
      </w:pPr>
      <w:r>
        <w:rPr>
          <w:rStyle w:val="FootnoteReference"/>
        </w:rPr>
        <w:footnoteRef/>
      </w:r>
      <w:r>
        <w:t xml:space="preserve"> </w:t>
      </w:r>
      <w:r w:rsidRPr="00D37309">
        <w:rPr>
          <w:rFonts w:cs="Times New Roman"/>
        </w:rPr>
        <w:t>Excluding government guarantees</w:t>
      </w:r>
    </w:p>
  </w:footnote>
  <w:footnote w:id="4">
    <w:p w14:paraId="0F0C1240" w14:textId="77777777" w:rsidR="005C750A" w:rsidRPr="00D37309" w:rsidRDefault="005C750A" w:rsidP="00C22E8A">
      <w:pPr>
        <w:pStyle w:val="CommentText"/>
        <w:rPr>
          <w:rFonts w:cs="Times New Roman"/>
        </w:rPr>
      </w:pPr>
      <w:r>
        <w:rPr>
          <w:rStyle w:val="FootnoteReference"/>
        </w:rPr>
        <w:footnoteRef/>
      </w:r>
      <w:r>
        <w:t xml:space="preserve"> </w:t>
      </w:r>
      <w:r w:rsidRPr="00D37309">
        <w:rPr>
          <w:rFonts w:cs="Times New Roman"/>
          <w:sz w:val="18"/>
        </w:rPr>
        <w:t xml:space="preserve">Guaranteed debt is not included in the central government debt portfolio and risk indicator analysis. </w:t>
      </w:r>
    </w:p>
    <w:p w14:paraId="5D24C9A3" w14:textId="77777777" w:rsidR="005C750A" w:rsidRPr="00D37309" w:rsidRDefault="005C750A" w:rsidP="00C22E8A">
      <w:pPr>
        <w:pStyle w:val="FootnoteText"/>
        <w:rPr>
          <w:rFonts w:cs="Times New Roman"/>
        </w:rPr>
      </w:pPr>
    </w:p>
  </w:footnote>
  <w:footnote w:id="5">
    <w:p w14:paraId="67584861" w14:textId="77777777" w:rsidR="005C750A" w:rsidRPr="00D37309" w:rsidRDefault="005C750A">
      <w:pPr>
        <w:pStyle w:val="FootnoteText"/>
        <w:rPr>
          <w:rFonts w:cs="Times New Roman"/>
          <w:sz w:val="18"/>
          <w:lang w:val="en-US"/>
        </w:rPr>
      </w:pPr>
      <w:r w:rsidRPr="00D37309">
        <w:rPr>
          <w:rStyle w:val="FootnoteReference"/>
          <w:rFonts w:cs="Times New Roman"/>
        </w:rPr>
        <w:footnoteRef/>
      </w:r>
      <w:r w:rsidRPr="00D37309">
        <w:rPr>
          <w:rFonts w:cs="Times New Roman"/>
        </w:rPr>
        <w:t xml:space="preserve"> </w:t>
      </w:r>
      <w:r w:rsidRPr="00D37309">
        <w:rPr>
          <w:rFonts w:cs="Times New Roman"/>
          <w:sz w:val="18"/>
          <w:lang w:val="en-US"/>
        </w:rPr>
        <w:t xml:space="preserve">Currently, the Ministry of Finance has information on the non-guaranteed debt of only Water And Sewage Corporation (WASCO) Inc. Contracted Liabilities of the other State-Owned Enterprises (SOEs) are not available at this time, and we, therefore, recommend that legislation make provision for the reporting of liabilities of all state-owned enterprises.  </w:t>
      </w:r>
    </w:p>
    <w:p w14:paraId="40DDAD18" w14:textId="77777777" w:rsidR="005C750A" w:rsidRPr="00D957FC" w:rsidRDefault="005C750A">
      <w:pPr>
        <w:pStyle w:val="FootnoteText"/>
        <w:rPr>
          <w:lang w:val="en-US"/>
        </w:rPr>
      </w:pPr>
    </w:p>
  </w:footnote>
  <w:footnote w:id="6">
    <w:p w14:paraId="1346553A" w14:textId="77777777" w:rsidR="005C750A" w:rsidRDefault="005C750A" w:rsidP="000A32FF">
      <w:pPr>
        <w:pStyle w:val="FootnoteText"/>
      </w:pPr>
      <w:r>
        <w:rPr>
          <w:rStyle w:val="FootnoteReference"/>
        </w:rPr>
        <w:footnoteRef/>
      </w:r>
      <w:r>
        <w:t xml:space="preserve"> </w:t>
      </w:r>
      <w:r w:rsidRPr="002153C3">
        <w:t>In</w:t>
      </w:r>
      <w:r>
        <w:t xml:space="preserve">formation on government financing </w:t>
      </w:r>
      <w:r w:rsidRPr="002153C3">
        <w:t>is reported on a fiscal year basis.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hybridMultilevel"/>
    <w:tmpl w:val="74B0DC50"/>
    <w:lvl w:ilvl="0" w:tplc="6CA44224">
      <w:start w:val="2"/>
      <w:numFmt w:val="decimal"/>
      <w:lvlText w:val="%1"/>
      <w:lvlJc w:val="left"/>
    </w:lvl>
    <w:lvl w:ilvl="1" w:tplc="F1141448">
      <w:start w:val="1"/>
      <w:numFmt w:val="bullet"/>
      <w:lvlText w:val=""/>
      <w:lvlJc w:val="left"/>
    </w:lvl>
    <w:lvl w:ilvl="2" w:tplc="6B8C7CC4">
      <w:start w:val="1"/>
      <w:numFmt w:val="bullet"/>
      <w:lvlText w:val=""/>
      <w:lvlJc w:val="left"/>
    </w:lvl>
    <w:lvl w:ilvl="3" w:tplc="0B8AEF9A">
      <w:start w:val="1"/>
      <w:numFmt w:val="bullet"/>
      <w:lvlText w:val=""/>
      <w:lvlJc w:val="left"/>
    </w:lvl>
    <w:lvl w:ilvl="4" w:tplc="7CF65F1C">
      <w:start w:val="1"/>
      <w:numFmt w:val="bullet"/>
      <w:lvlText w:val=""/>
      <w:lvlJc w:val="left"/>
    </w:lvl>
    <w:lvl w:ilvl="5" w:tplc="2F52AF98">
      <w:start w:val="1"/>
      <w:numFmt w:val="bullet"/>
      <w:lvlText w:val=""/>
      <w:lvlJc w:val="left"/>
    </w:lvl>
    <w:lvl w:ilvl="6" w:tplc="FD78A8AA">
      <w:start w:val="1"/>
      <w:numFmt w:val="bullet"/>
      <w:lvlText w:val=""/>
      <w:lvlJc w:val="left"/>
    </w:lvl>
    <w:lvl w:ilvl="7" w:tplc="11205A50">
      <w:start w:val="1"/>
      <w:numFmt w:val="bullet"/>
      <w:lvlText w:val=""/>
      <w:lvlJc w:val="left"/>
    </w:lvl>
    <w:lvl w:ilvl="8" w:tplc="17C8D81A">
      <w:start w:val="1"/>
      <w:numFmt w:val="bullet"/>
      <w:lvlText w:val=""/>
      <w:lvlJc w:val="left"/>
    </w:lvl>
  </w:abstractNum>
  <w:abstractNum w:abstractNumId="1">
    <w:nsid w:val="00000003"/>
    <w:multiLevelType w:val="hybridMultilevel"/>
    <w:tmpl w:val="19495CFE"/>
    <w:lvl w:ilvl="0" w:tplc="FECC78FE">
      <w:start w:val="3"/>
      <w:numFmt w:val="decimal"/>
      <w:lvlText w:val="%1"/>
      <w:lvlJc w:val="left"/>
    </w:lvl>
    <w:lvl w:ilvl="1" w:tplc="3DD6AF1C">
      <w:start w:val="1"/>
      <w:numFmt w:val="bullet"/>
      <w:lvlText w:val=""/>
      <w:lvlJc w:val="left"/>
    </w:lvl>
    <w:lvl w:ilvl="2" w:tplc="49EEB504">
      <w:start w:val="1"/>
      <w:numFmt w:val="bullet"/>
      <w:lvlText w:val=""/>
      <w:lvlJc w:val="left"/>
    </w:lvl>
    <w:lvl w:ilvl="3" w:tplc="DD9EA9B0">
      <w:start w:val="1"/>
      <w:numFmt w:val="bullet"/>
      <w:lvlText w:val=""/>
      <w:lvlJc w:val="left"/>
    </w:lvl>
    <w:lvl w:ilvl="4" w:tplc="3AA07894">
      <w:start w:val="1"/>
      <w:numFmt w:val="bullet"/>
      <w:lvlText w:val=""/>
      <w:lvlJc w:val="left"/>
    </w:lvl>
    <w:lvl w:ilvl="5" w:tplc="235264FC">
      <w:start w:val="1"/>
      <w:numFmt w:val="bullet"/>
      <w:lvlText w:val=""/>
      <w:lvlJc w:val="left"/>
    </w:lvl>
    <w:lvl w:ilvl="6" w:tplc="9E2A250E">
      <w:start w:val="1"/>
      <w:numFmt w:val="bullet"/>
      <w:lvlText w:val=""/>
      <w:lvlJc w:val="left"/>
    </w:lvl>
    <w:lvl w:ilvl="7" w:tplc="EF88DCA2">
      <w:start w:val="1"/>
      <w:numFmt w:val="bullet"/>
      <w:lvlText w:val=""/>
      <w:lvlJc w:val="left"/>
    </w:lvl>
    <w:lvl w:ilvl="8" w:tplc="F044EB84">
      <w:start w:val="1"/>
      <w:numFmt w:val="bullet"/>
      <w:lvlText w:val=""/>
      <w:lvlJc w:val="left"/>
    </w:lvl>
  </w:abstractNum>
  <w:abstractNum w:abstractNumId="2">
    <w:nsid w:val="24F340A7"/>
    <w:multiLevelType w:val="multilevel"/>
    <w:tmpl w:val="140EAC76"/>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nsid w:val="276E6360"/>
    <w:multiLevelType w:val="hybridMultilevel"/>
    <w:tmpl w:val="4B8E17E6"/>
    <w:lvl w:ilvl="0" w:tplc="66D429AA">
      <w:start w:val="1"/>
      <w:numFmt w:val="bullet"/>
      <w:lvlText w:val=""/>
      <w:lvlJc w:val="left"/>
      <w:pPr>
        <w:ind w:left="1440" w:hanging="360"/>
      </w:pPr>
      <w:rPr>
        <w:rFonts w:ascii="Symbol" w:hAnsi="Symbol" w:hint="default"/>
      </w:rPr>
    </w:lvl>
    <w:lvl w:ilvl="1" w:tplc="E5C0AD16" w:tentative="1">
      <w:start w:val="1"/>
      <w:numFmt w:val="bullet"/>
      <w:lvlText w:val="o"/>
      <w:lvlJc w:val="left"/>
      <w:pPr>
        <w:ind w:left="2160" w:hanging="360"/>
      </w:pPr>
      <w:rPr>
        <w:rFonts w:ascii="Courier New" w:hAnsi="Courier New" w:cs="Courier New" w:hint="default"/>
      </w:rPr>
    </w:lvl>
    <w:lvl w:ilvl="2" w:tplc="BCB865E4" w:tentative="1">
      <w:start w:val="1"/>
      <w:numFmt w:val="bullet"/>
      <w:lvlText w:val=""/>
      <w:lvlJc w:val="left"/>
      <w:pPr>
        <w:ind w:left="2880" w:hanging="360"/>
      </w:pPr>
      <w:rPr>
        <w:rFonts w:ascii="Wingdings" w:hAnsi="Wingdings" w:hint="default"/>
      </w:rPr>
    </w:lvl>
    <w:lvl w:ilvl="3" w:tplc="4BCE98DC" w:tentative="1">
      <w:start w:val="1"/>
      <w:numFmt w:val="bullet"/>
      <w:lvlText w:val=""/>
      <w:lvlJc w:val="left"/>
      <w:pPr>
        <w:ind w:left="3600" w:hanging="360"/>
      </w:pPr>
      <w:rPr>
        <w:rFonts w:ascii="Symbol" w:hAnsi="Symbol" w:hint="default"/>
      </w:rPr>
    </w:lvl>
    <w:lvl w:ilvl="4" w:tplc="970C3604" w:tentative="1">
      <w:start w:val="1"/>
      <w:numFmt w:val="bullet"/>
      <w:lvlText w:val="o"/>
      <w:lvlJc w:val="left"/>
      <w:pPr>
        <w:ind w:left="4320" w:hanging="360"/>
      </w:pPr>
      <w:rPr>
        <w:rFonts w:ascii="Courier New" w:hAnsi="Courier New" w:cs="Courier New" w:hint="default"/>
      </w:rPr>
    </w:lvl>
    <w:lvl w:ilvl="5" w:tplc="93EC31E8" w:tentative="1">
      <w:start w:val="1"/>
      <w:numFmt w:val="bullet"/>
      <w:lvlText w:val=""/>
      <w:lvlJc w:val="left"/>
      <w:pPr>
        <w:ind w:left="5040" w:hanging="360"/>
      </w:pPr>
      <w:rPr>
        <w:rFonts w:ascii="Wingdings" w:hAnsi="Wingdings" w:hint="default"/>
      </w:rPr>
    </w:lvl>
    <w:lvl w:ilvl="6" w:tplc="DB6680F6" w:tentative="1">
      <w:start w:val="1"/>
      <w:numFmt w:val="bullet"/>
      <w:lvlText w:val=""/>
      <w:lvlJc w:val="left"/>
      <w:pPr>
        <w:ind w:left="5760" w:hanging="360"/>
      </w:pPr>
      <w:rPr>
        <w:rFonts w:ascii="Symbol" w:hAnsi="Symbol" w:hint="default"/>
      </w:rPr>
    </w:lvl>
    <w:lvl w:ilvl="7" w:tplc="E280C832" w:tentative="1">
      <w:start w:val="1"/>
      <w:numFmt w:val="bullet"/>
      <w:lvlText w:val="o"/>
      <w:lvlJc w:val="left"/>
      <w:pPr>
        <w:ind w:left="6480" w:hanging="360"/>
      </w:pPr>
      <w:rPr>
        <w:rFonts w:ascii="Courier New" w:hAnsi="Courier New" w:cs="Courier New" w:hint="default"/>
      </w:rPr>
    </w:lvl>
    <w:lvl w:ilvl="8" w:tplc="BF1E95B8" w:tentative="1">
      <w:start w:val="1"/>
      <w:numFmt w:val="bullet"/>
      <w:lvlText w:val=""/>
      <w:lvlJc w:val="left"/>
      <w:pPr>
        <w:ind w:left="7200" w:hanging="360"/>
      </w:pPr>
      <w:rPr>
        <w:rFonts w:ascii="Wingdings" w:hAnsi="Wingdings" w:hint="default"/>
      </w:rPr>
    </w:lvl>
  </w:abstractNum>
  <w:abstractNum w:abstractNumId="4">
    <w:nsid w:val="358A1E73"/>
    <w:multiLevelType w:val="hybridMultilevel"/>
    <w:tmpl w:val="07DE270C"/>
    <w:lvl w:ilvl="0" w:tplc="7AA0D490">
      <w:start w:val="9"/>
      <w:numFmt w:val="bullet"/>
      <w:lvlText w:val="-"/>
      <w:lvlJc w:val="left"/>
      <w:pPr>
        <w:ind w:left="720" w:hanging="360"/>
      </w:pPr>
      <w:rPr>
        <w:rFonts w:ascii="Calibri" w:eastAsiaTheme="minorEastAsia" w:hAnsi="Calibri" w:cs="Calibri" w:hint="default"/>
      </w:rPr>
    </w:lvl>
    <w:lvl w:ilvl="1" w:tplc="23722D80">
      <w:start w:val="1"/>
      <w:numFmt w:val="bullet"/>
      <w:lvlText w:val="o"/>
      <w:lvlJc w:val="left"/>
      <w:pPr>
        <w:ind w:left="1440" w:hanging="360"/>
      </w:pPr>
      <w:rPr>
        <w:rFonts w:ascii="Courier New" w:hAnsi="Courier New" w:cs="Courier New" w:hint="default"/>
      </w:rPr>
    </w:lvl>
    <w:lvl w:ilvl="2" w:tplc="16CE63DC" w:tentative="1">
      <w:start w:val="1"/>
      <w:numFmt w:val="bullet"/>
      <w:lvlText w:val=""/>
      <w:lvlJc w:val="left"/>
      <w:pPr>
        <w:ind w:left="2160" w:hanging="360"/>
      </w:pPr>
      <w:rPr>
        <w:rFonts w:ascii="Wingdings" w:hAnsi="Wingdings" w:hint="default"/>
      </w:rPr>
    </w:lvl>
    <w:lvl w:ilvl="3" w:tplc="8EBAF86A" w:tentative="1">
      <w:start w:val="1"/>
      <w:numFmt w:val="bullet"/>
      <w:lvlText w:val=""/>
      <w:lvlJc w:val="left"/>
      <w:pPr>
        <w:ind w:left="2880" w:hanging="360"/>
      </w:pPr>
      <w:rPr>
        <w:rFonts w:ascii="Symbol" w:hAnsi="Symbol" w:hint="default"/>
      </w:rPr>
    </w:lvl>
    <w:lvl w:ilvl="4" w:tplc="C3E24902" w:tentative="1">
      <w:start w:val="1"/>
      <w:numFmt w:val="bullet"/>
      <w:lvlText w:val="o"/>
      <w:lvlJc w:val="left"/>
      <w:pPr>
        <w:ind w:left="3600" w:hanging="360"/>
      </w:pPr>
      <w:rPr>
        <w:rFonts w:ascii="Courier New" w:hAnsi="Courier New" w:cs="Courier New" w:hint="default"/>
      </w:rPr>
    </w:lvl>
    <w:lvl w:ilvl="5" w:tplc="68E247E4" w:tentative="1">
      <w:start w:val="1"/>
      <w:numFmt w:val="bullet"/>
      <w:lvlText w:val=""/>
      <w:lvlJc w:val="left"/>
      <w:pPr>
        <w:ind w:left="4320" w:hanging="360"/>
      </w:pPr>
      <w:rPr>
        <w:rFonts w:ascii="Wingdings" w:hAnsi="Wingdings" w:hint="default"/>
      </w:rPr>
    </w:lvl>
    <w:lvl w:ilvl="6" w:tplc="676C15C4" w:tentative="1">
      <w:start w:val="1"/>
      <w:numFmt w:val="bullet"/>
      <w:lvlText w:val=""/>
      <w:lvlJc w:val="left"/>
      <w:pPr>
        <w:ind w:left="5040" w:hanging="360"/>
      </w:pPr>
      <w:rPr>
        <w:rFonts w:ascii="Symbol" w:hAnsi="Symbol" w:hint="default"/>
      </w:rPr>
    </w:lvl>
    <w:lvl w:ilvl="7" w:tplc="80D83C20" w:tentative="1">
      <w:start w:val="1"/>
      <w:numFmt w:val="bullet"/>
      <w:lvlText w:val="o"/>
      <w:lvlJc w:val="left"/>
      <w:pPr>
        <w:ind w:left="5760" w:hanging="360"/>
      </w:pPr>
      <w:rPr>
        <w:rFonts w:ascii="Courier New" w:hAnsi="Courier New" w:cs="Courier New" w:hint="default"/>
      </w:rPr>
    </w:lvl>
    <w:lvl w:ilvl="8" w:tplc="242AA504" w:tentative="1">
      <w:start w:val="1"/>
      <w:numFmt w:val="bullet"/>
      <w:lvlText w:val=""/>
      <w:lvlJc w:val="left"/>
      <w:pPr>
        <w:ind w:left="6480" w:hanging="360"/>
      </w:pPr>
      <w:rPr>
        <w:rFonts w:ascii="Wingdings" w:hAnsi="Wingdings" w:hint="default"/>
      </w:rPr>
    </w:lvl>
  </w:abstractNum>
  <w:abstractNum w:abstractNumId="5">
    <w:nsid w:val="41761188"/>
    <w:multiLevelType w:val="multilevel"/>
    <w:tmpl w:val="5EC65F9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nsid w:val="6B5E4935"/>
    <w:multiLevelType w:val="multilevel"/>
    <w:tmpl w:val="6E5A076E"/>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nsid w:val="76574A1F"/>
    <w:multiLevelType w:val="multilevel"/>
    <w:tmpl w:val="A1B62DC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 w:numId="3">
    <w:abstractNumId w:val="7"/>
  </w:num>
  <w:num w:numId="4">
    <w:abstractNumId w:val="5"/>
  </w:num>
  <w:num w:numId="5">
    <w:abstractNumId w:val="2"/>
  </w:num>
  <w:num w:numId="6">
    <w:abstractNumId w:val="6"/>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lignBordersAndEdges/>
  <w:trackRevisions/>
  <w:defaultTabStop w:val="720"/>
  <w:drawingGridHorizontalSpacing w:val="187"/>
  <w:drawingGridVerticalSpacing w:val="187"/>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D89"/>
    <w:rsid w:val="00001241"/>
    <w:rsid w:val="00001BF1"/>
    <w:rsid w:val="00001D09"/>
    <w:rsid w:val="00002DFD"/>
    <w:rsid w:val="00003F03"/>
    <w:rsid w:val="000066C4"/>
    <w:rsid w:val="00007F7F"/>
    <w:rsid w:val="00012204"/>
    <w:rsid w:val="00012F82"/>
    <w:rsid w:val="00012FA3"/>
    <w:rsid w:val="00015B9D"/>
    <w:rsid w:val="0001622C"/>
    <w:rsid w:val="00016DBD"/>
    <w:rsid w:val="00017287"/>
    <w:rsid w:val="0001735D"/>
    <w:rsid w:val="00017A27"/>
    <w:rsid w:val="000207AA"/>
    <w:rsid w:val="00021030"/>
    <w:rsid w:val="000217BA"/>
    <w:rsid w:val="00021D8C"/>
    <w:rsid w:val="0002248F"/>
    <w:rsid w:val="0002420F"/>
    <w:rsid w:val="000268A3"/>
    <w:rsid w:val="00026ABB"/>
    <w:rsid w:val="000275F9"/>
    <w:rsid w:val="000345EF"/>
    <w:rsid w:val="000363F2"/>
    <w:rsid w:val="000367A7"/>
    <w:rsid w:val="00036F09"/>
    <w:rsid w:val="0003702A"/>
    <w:rsid w:val="0003725B"/>
    <w:rsid w:val="0003782B"/>
    <w:rsid w:val="0004175D"/>
    <w:rsid w:val="00041993"/>
    <w:rsid w:val="00043040"/>
    <w:rsid w:val="000435C5"/>
    <w:rsid w:val="00043615"/>
    <w:rsid w:val="0004597A"/>
    <w:rsid w:val="00046439"/>
    <w:rsid w:val="00051389"/>
    <w:rsid w:val="00051900"/>
    <w:rsid w:val="00052FEF"/>
    <w:rsid w:val="00053A8F"/>
    <w:rsid w:val="000550B8"/>
    <w:rsid w:val="00055C70"/>
    <w:rsid w:val="00056296"/>
    <w:rsid w:val="0005738C"/>
    <w:rsid w:val="00060A06"/>
    <w:rsid w:val="00062916"/>
    <w:rsid w:val="00065217"/>
    <w:rsid w:val="00065E32"/>
    <w:rsid w:val="00066A1E"/>
    <w:rsid w:val="00066ED2"/>
    <w:rsid w:val="00067A10"/>
    <w:rsid w:val="00067DAC"/>
    <w:rsid w:val="00070AC0"/>
    <w:rsid w:val="00071BEB"/>
    <w:rsid w:val="00071DF8"/>
    <w:rsid w:val="00072319"/>
    <w:rsid w:val="000723E4"/>
    <w:rsid w:val="0007402C"/>
    <w:rsid w:val="00074DC9"/>
    <w:rsid w:val="0007643B"/>
    <w:rsid w:val="00080561"/>
    <w:rsid w:val="0008145E"/>
    <w:rsid w:val="000824C6"/>
    <w:rsid w:val="00082947"/>
    <w:rsid w:val="00082E76"/>
    <w:rsid w:val="00083B4F"/>
    <w:rsid w:val="00084FD4"/>
    <w:rsid w:val="00085295"/>
    <w:rsid w:val="0008533B"/>
    <w:rsid w:val="00085EC9"/>
    <w:rsid w:val="00087176"/>
    <w:rsid w:val="00087E1D"/>
    <w:rsid w:val="0009234E"/>
    <w:rsid w:val="00092C07"/>
    <w:rsid w:val="000930E7"/>
    <w:rsid w:val="00093B6C"/>
    <w:rsid w:val="00094CB6"/>
    <w:rsid w:val="00097A74"/>
    <w:rsid w:val="000A18B3"/>
    <w:rsid w:val="000A1E45"/>
    <w:rsid w:val="000A208E"/>
    <w:rsid w:val="000A26F6"/>
    <w:rsid w:val="000A32FF"/>
    <w:rsid w:val="000A6DB9"/>
    <w:rsid w:val="000A6F21"/>
    <w:rsid w:val="000A7834"/>
    <w:rsid w:val="000A7D48"/>
    <w:rsid w:val="000A7E41"/>
    <w:rsid w:val="000B02D5"/>
    <w:rsid w:val="000B1B68"/>
    <w:rsid w:val="000B2DAC"/>
    <w:rsid w:val="000B32EA"/>
    <w:rsid w:val="000B4518"/>
    <w:rsid w:val="000B4F76"/>
    <w:rsid w:val="000B5A08"/>
    <w:rsid w:val="000B5E42"/>
    <w:rsid w:val="000B6547"/>
    <w:rsid w:val="000B778E"/>
    <w:rsid w:val="000C28B3"/>
    <w:rsid w:val="000C29AD"/>
    <w:rsid w:val="000C450E"/>
    <w:rsid w:val="000C5F70"/>
    <w:rsid w:val="000C6403"/>
    <w:rsid w:val="000C714E"/>
    <w:rsid w:val="000D02B6"/>
    <w:rsid w:val="000D14B1"/>
    <w:rsid w:val="000D2857"/>
    <w:rsid w:val="000D2EAB"/>
    <w:rsid w:val="000D39B4"/>
    <w:rsid w:val="000D40A9"/>
    <w:rsid w:val="000D5635"/>
    <w:rsid w:val="000D5782"/>
    <w:rsid w:val="000D5FC2"/>
    <w:rsid w:val="000D6B7D"/>
    <w:rsid w:val="000D7958"/>
    <w:rsid w:val="000E0A40"/>
    <w:rsid w:val="000E2DB1"/>
    <w:rsid w:val="000E32CE"/>
    <w:rsid w:val="000E3ABE"/>
    <w:rsid w:val="000E3EA8"/>
    <w:rsid w:val="000E4D7A"/>
    <w:rsid w:val="000E6565"/>
    <w:rsid w:val="000E7688"/>
    <w:rsid w:val="000E79A6"/>
    <w:rsid w:val="000E7BAA"/>
    <w:rsid w:val="000F0643"/>
    <w:rsid w:val="000F08CA"/>
    <w:rsid w:val="000F0AC2"/>
    <w:rsid w:val="000F30F0"/>
    <w:rsid w:val="000F33BD"/>
    <w:rsid w:val="000F488E"/>
    <w:rsid w:val="000F51E1"/>
    <w:rsid w:val="000F639C"/>
    <w:rsid w:val="000F6A8F"/>
    <w:rsid w:val="000F7483"/>
    <w:rsid w:val="000F7759"/>
    <w:rsid w:val="00101152"/>
    <w:rsid w:val="00101578"/>
    <w:rsid w:val="00106759"/>
    <w:rsid w:val="0010713C"/>
    <w:rsid w:val="00110757"/>
    <w:rsid w:val="00115681"/>
    <w:rsid w:val="00115EB5"/>
    <w:rsid w:val="0011674F"/>
    <w:rsid w:val="00124164"/>
    <w:rsid w:val="00124792"/>
    <w:rsid w:val="00126462"/>
    <w:rsid w:val="00126500"/>
    <w:rsid w:val="00131D7E"/>
    <w:rsid w:val="001332D7"/>
    <w:rsid w:val="00135919"/>
    <w:rsid w:val="00135D13"/>
    <w:rsid w:val="00136A2D"/>
    <w:rsid w:val="001372D3"/>
    <w:rsid w:val="001419F8"/>
    <w:rsid w:val="00141A07"/>
    <w:rsid w:val="00142313"/>
    <w:rsid w:val="0014261A"/>
    <w:rsid w:val="00142A0B"/>
    <w:rsid w:val="001450FA"/>
    <w:rsid w:val="001452BD"/>
    <w:rsid w:val="00147142"/>
    <w:rsid w:val="00147DA5"/>
    <w:rsid w:val="0015174E"/>
    <w:rsid w:val="001525C3"/>
    <w:rsid w:val="0015470B"/>
    <w:rsid w:val="00154D08"/>
    <w:rsid w:val="0015698C"/>
    <w:rsid w:val="001611F9"/>
    <w:rsid w:val="001648AE"/>
    <w:rsid w:val="00165B97"/>
    <w:rsid w:val="0016616F"/>
    <w:rsid w:val="00166B10"/>
    <w:rsid w:val="00167C91"/>
    <w:rsid w:val="001704A7"/>
    <w:rsid w:val="0017093C"/>
    <w:rsid w:val="00171AB4"/>
    <w:rsid w:val="00173392"/>
    <w:rsid w:val="00173973"/>
    <w:rsid w:val="0017405F"/>
    <w:rsid w:val="00174C81"/>
    <w:rsid w:val="00174F98"/>
    <w:rsid w:val="00175E58"/>
    <w:rsid w:val="0017682F"/>
    <w:rsid w:val="00176933"/>
    <w:rsid w:val="00176DBD"/>
    <w:rsid w:val="00177457"/>
    <w:rsid w:val="00177632"/>
    <w:rsid w:val="001776D2"/>
    <w:rsid w:val="001810AE"/>
    <w:rsid w:val="00181C23"/>
    <w:rsid w:val="001827C8"/>
    <w:rsid w:val="00183995"/>
    <w:rsid w:val="00184754"/>
    <w:rsid w:val="0018735F"/>
    <w:rsid w:val="00190814"/>
    <w:rsid w:val="00191C37"/>
    <w:rsid w:val="00191D34"/>
    <w:rsid w:val="00192884"/>
    <w:rsid w:val="00192FE7"/>
    <w:rsid w:val="00194412"/>
    <w:rsid w:val="00194DFC"/>
    <w:rsid w:val="0019560C"/>
    <w:rsid w:val="0019582D"/>
    <w:rsid w:val="00195F37"/>
    <w:rsid w:val="0019671B"/>
    <w:rsid w:val="00197C43"/>
    <w:rsid w:val="00197C71"/>
    <w:rsid w:val="001A0041"/>
    <w:rsid w:val="001A08F6"/>
    <w:rsid w:val="001A1178"/>
    <w:rsid w:val="001A2A1F"/>
    <w:rsid w:val="001A31CA"/>
    <w:rsid w:val="001A4DB8"/>
    <w:rsid w:val="001A5154"/>
    <w:rsid w:val="001A65E5"/>
    <w:rsid w:val="001A7D71"/>
    <w:rsid w:val="001B00AD"/>
    <w:rsid w:val="001B0359"/>
    <w:rsid w:val="001B03A8"/>
    <w:rsid w:val="001B1048"/>
    <w:rsid w:val="001B24B7"/>
    <w:rsid w:val="001B2F32"/>
    <w:rsid w:val="001B4925"/>
    <w:rsid w:val="001B5BC5"/>
    <w:rsid w:val="001B63E2"/>
    <w:rsid w:val="001B6C2C"/>
    <w:rsid w:val="001B7028"/>
    <w:rsid w:val="001C0D4A"/>
    <w:rsid w:val="001C27EB"/>
    <w:rsid w:val="001C320E"/>
    <w:rsid w:val="001C3271"/>
    <w:rsid w:val="001C5725"/>
    <w:rsid w:val="001C6469"/>
    <w:rsid w:val="001C6525"/>
    <w:rsid w:val="001C7544"/>
    <w:rsid w:val="001C7A1D"/>
    <w:rsid w:val="001D01B9"/>
    <w:rsid w:val="001D3CD7"/>
    <w:rsid w:val="001D455E"/>
    <w:rsid w:val="001D5205"/>
    <w:rsid w:val="001D5C92"/>
    <w:rsid w:val="001D679E"/>
    <w:rsid w:val="001E1635"/>
    <w:rsid w:val="001E2528"/>
    <w:rsid w:val="001E282A"/>
    <w:rsid w:val="001E297D"/>
    <w:rsid w:val="001E5A24"/>
    <w:rsid w:val="001E5F51"/>
    <w:rsid w:val="001E6993"/>
    <w:rsid w:val="001E6F38"/>
    <w:rsid w:val="001E7833"/>
    <w:rsid w:val="001E7A96"/>
    <w:rsid w:val="001E7B58"/>
    <w:rsid w:val="001F0670"/>
    <w:rsid w:val="001F0771"/>
    <w:rsid w:val="001F0864"/>
    <w:rsid w:val="001F1C20"/>
    <w:rsid w:val="001F27AF"/>
    <w:rsid w:val="001F3BB9"/>
    <w:rsid w:val="001F40D1"/>
    <w:rsid w:val="001F42E3"/>
    <w:rsid w:val="001F508E"/>
    <w:rsid w:val="001F67BE"/>
    <w:rsid w:val="002013CB"/>
    <w:rsid w:val="00201B8A"/>
    <w:rsid w:val="002022EF"/>
    <w:rsid w:val="00202DA6"/>
    <w:rsid w:val="00204486"/>
    <w:rsid w:val="00204ABD"/>
    <w:rsid w:val="00204E61"/>
    <w:rsid w:val="00206032"/>
    <w:rsid w:val="00211E2C"/>
    <w:rsid w:val="00212F48"/>
    <w:rsid w:val="00213F81"/>
    <w:rsid w:val="00214038"/>
    <w:rsid w:val="002153C3"/>
    <w:rsid w:val="00216DBC"/>
    <w:rsid w:val="00217554"/>
    <w:rsid w:val="00220AC1"/>
    <w:rsid w:val="00222551"/>
    <w:rsid w:val="00222880"/>
    <w:rsid w:val="002233BF"/>
    <w:rsid w:val="002245EE"/>
    <w:rsid w:val="0022472B"/>
    <w:rsid w:val="00226E43"/>
    <w:rsid w:val="0023086B"/>
    <w:rsid w:val="00233699"/>
    <w:rsid w:val="00234E6F"/>
    <w:rsid w:val="0023577B"/>
    <w:rsid w:val="00236321"/>
    <w:rsid w:val="002379D4"/>
    <w:rsid w:val="00240351"/>
    <w:rsid w:val="00240BA9"/>
    <w:rsid w:val="0024119B"/>
    <w:rsid w:val="00241770"/>
    <w:rsid w:val="00241D90"/>
    <w:rsid w:val="00241FF5"/>
    <w:rsid w:val="00242D32"/>
    <w:rsid w:val="00244C49"/>
    <w:rsid w:val="002455F5"/>
    <w:rsid w:val="002467C2"/>
    <w:rsid w:val="00247A41"/>
    <w:rsid w:val="00250219"/>
    <w:rsid w:val="002517F4"/>
    <w:rsid w:val="00252A0D"/>
    <w:rsid w:val="002531FF"/>
    <w:rsid w:val="00253421"/>
    <w:rsid w:val="002540F5"/>
    <w:rsid w:val="00260ECF"/>
    <w:rsid w:val="00265530"/>
    <w:rsid w:val="002724C5"/>
    <w:rsid w:val="00275DD5"/>
    <w:rsid w:val="0027670D"/>
    <w:rsid w:val="00277179"/>
    <w:rsid w:val="002774ED"/>
    <w:rsid w:val="00280D9B"/>
    <w:rsid w:val="00280DCB"/>
    <w:rsid w:val="002812C7"/>
    <w:rsid w:val="00282F39"/>
    <w:rsid w:val="002833CF"/>
    <w:rsid w:val="002840D2"/>
    <w:rsid w:val="00286687"/>
    <w:rsid w:val="00290899"/>
    <w:rsid w:val="00290CA9"/>
    <w:rsid w:val="0029131D"/>
    <w:rsid w:val="002916A7"/>
    <w:rsid w:val="00291919"/>
    <w:rsid w:val="00292600"/>
    <w:rsid w:val="00294F3F"/>
    <w:rsid w:val="00295A2C"/>
    <w:rsid w:val="00296327"/>
    <w:rsid w:val="00296525"/>
    <w:rsid w:val="00297125"/>
    <w:rsid w:val="00297581"/>
    <w:rsid w:val="002A0091"/>
    <w:rsid w:val="002A0F1B"/>
    <w:rsid w:val="002A3A09"/>
    <w:rsid w:val="002A4C6B"/>
    <w:rsid w:val="002A55D9"/>
    <w:rsid w:val="002A634D"/>
    <w:rsid w:val="002A66F5"/>
    <w:rsid w:val="002A6731"/>
    <w:rsid w:val="002A6D30"/>
    <w:rsid w:val="002A6F14"/>
    <w:rsid w:val="002A724D"/>
    <w:rsid w:val="002A731C"/>
    <w:rsid w:val="002B0298"/>
    <w:rsid w:val="002B12FA"/>
    <w:rsid w:val="002B39CE"/>
    <w:rsid w:val="002B3DC0"/>
    <w:rsid w:val="002B4233"/>
    <w:rsid w:val="002B4370"/>
    <w:rsid w:val="002B4474"/>
    <w:rsid w:val="002B5770"/>
    <w:rsid w:val="002B64F6"/>
    <w:rsid w:val="002B68C2"/>
    <w:rsid w:val="002B7112"/>
    <w:rsid w:val="002B715F"/>
    <w:rsid w:val="002B7206"/>
    <w:rsid w:val="002B7DFA"/>
    <w:rsid w:val="002C1BDE"/>
    <w:rsid w:val="002C1D36"/>
    <w:rsid w:val="002C1D8D"/>
    <w:rsid w:val="002C3204"/>
    <w:rsid w:val="002C417A"/>
    <w:rsid w:val="002C4185"/>
    <w:rsid w:val="002C4B37"/>
    <w:rsid w:val="002C528A"/>
    <w:rsid w:val="002C5528"/>
    <w:rsid w:val="002C6006"/>
    <w:rsid w:val="002C68DE"/>
    <w:rsid w:val="002C7180"/>
    <w:rsid w:val="002D1928"/>
    <w:rsid w:val="002D27F0"/>
    <w:rsid w:val="002D2FA5"/>
    <w:rsid w:val="002D3E64"/>
    <w:rsid w:val="002D454A"/>
    <w:rsid w:val="002D5068"/>
    <w:rsid w:val="002D69DA"/>
    <w:rsid w:val="002D751C"/>
    <w:rsid w:val="002E082E"/>
    <w:rsid w:val="002E106D"/>
    <w:rsid w:val="002E10AF"/>
    <w:rsid w:val="002E1637"/>
    <w:rsid w:val="002E27EF"/>
    <w:rsid w:val="002E27F7"/>
    <w:rsid w:val="002E31F6"/>
    <w:rsid w:val="002E32F0"/>
    <w:rsid w:val="002E3DA5"/>
    <w:rsid w:val="002E64F7"/>
    <w:rsid w:val="002E64FD"/>
    <w:rsid w:val="002E67B9"/>
    <w:rsid w:val="002E6EA7"/>
    <w:rsid w:val="002F09B3"/>
    <w:rsid w:val="002F191E"/>
    <w:rsid w:val="002F1B24"/>
    <w:rsid w:val="002F1CE5"/>
    <w:rsid w:val="002F3B7A"/>
    <w:rsid w:val="002F51F7"/>
    <w:rsid w:val="002F536B"/>
    <w:rsid w:val="00303060"/>
    <w:rsid w:val="00303DF2"/>
    <w:rsid w:val="003042E3"/>
    <w:rsid w:val="003056CF"/>
    <w:rsid w:val="00307FBA"/>
    <w:rsid w:val="003127EA"/>
    <w:rsid w:val="003134F2"/>
    <w:rsid w:val="00313742"/>
    <w:rsid w:val="00313D19"/>
    <w:rsid w:val="003142BD"/>
    <w:rsid w:val="00315531"/>
    <w:rsid w:val="003172A1"/>
    <w:rsid w:val="003179F5"/>
    <w:rsid w:val="0032019F"/>
    <w:rsid w:val="00320E40"/>
    <w:rsid w:val="00323BBD"/>
    <w:rsid w:val="00323F0D"/>
    <w:rsid w:val="003248AA"/>
    <w:rsid w:val="00324FB6"/>
    <w:rsid w:val="003273AE"/>
    <w:rsid w:val="003273C4"/>
    <w:rsid w:val="00327CFC"/>
    <w:rsid w:val="00330912"/>
    <w:rsid w:val="00331B27"/>
    <w:rsid w:val="00333BAD"/>
    <w:rsid w:val="00334326"/>
    <w:rsid w:val="003347ED"/>
    <w:rsid w:val="003348C1"/>
    <w:rsid w:val="00334ECF"/>
    <w:rsid w:val="00335A1B"/>
    <w:rsid w:val="0033616F"/>
    <w:rsid w:val="00336482"/>
    <w:rsid w:val="00336805"/>
    <w:rsid w:val="00336E69"/>
    <w:rsid w:val="003401E2"/>
    <w:rsid w:val="003427E9"/>
    <w:rsid w:val="00342C45"/>
    <w:rsid w:val="00342F67"/>
    <w:rsid w:val="003453BF"/>
    <w:rsid w:val="003465FE"/>
    <w:rsid w:val="00346C77"/>
    <w:rsid w:val="00346D3A"/>
    <w:rsid w:val="00347470"/>
    <w:rsid w:val="0035235B"/>
    <w:rsid w:val="00353328"/>
    <w:rsid w:val="00353AA9"/>
    <w:rsid w:val="00353C50"/>
    <w:rsid w:val="003554E0"/>
    <w:rsid w:val="00357051"/>
    <w:rsid w:val="003606DF"/>
    <w:rsid w:val="00360E71"/>
    <w:rsid w:val="0036173B"/>
    <w:rsid w:val="00361A07"/>
    <w:rsid w:val="0036316C"/>
    <w:rsid w:val="0036382F"/>
    <w:rsid w:val="00364A86"/>
    <w:rsid w:val="003659F0"/>
    <w:rsid w:val="00365B1B"/>
    <w:rsid w:val="00366320"/>
    <w:rsid w:val="00366E62"/>
    <w:rsid w:val="003674C4"/>
    <w:rsid w:val="003705D2"/>
    <w:rsid w:val="00370664"/>
    <w:rsid w:val="00370E45"/>
    <w:rsid w:val="00371447"/>
    <w:rsid w:val="00371501"/>
    <w:rsid w:val="003731CC"/>
    <w:rsid w:val="0037412B"/>
    <w:rsid w:val="0037458B"/>
    <w:rsid w:val="0037509E"/>
    <w:rsid w:val="00375316"/>
    <w:rsid w:val="00377ED0"/>
    <w:rsid w:val="00377F8B"/>
    <w:rsid w:val="003801F5"/>
    <w:rsid w:val="00380CD1"/>
    <w:rsid w:val="00382F45"/>
    <w:rsid w:val="00383695"/>
    <w:rsid w:val="0038406A"/>
    <w:rsid w:val="003857B8"/>
    <w:rsid w:val="00385E0A"/>
    <w:rsid w:val="003861FD"/>
    <w:rsid w:val="0038636D"/>
    <w:rsid w:val="0038745D"/>
    <w:rsid w:val="00390A90"/>
    <w:rsid w:val="00391AC3"/>
    <w:rsid w:val="003920F8"/>
    <w:rsid w:val="00392B3A"/>
    <w:rsid w:val="00392EA2"/>
    <w:rsid w:val="0039395C"/>
    <w:rsid w:val="003959CD"/>
    <w:rsid w:val="00396597"/>
    <w:rsid w:val="00396C04"/>
    <w:rsid w:val="00397607"/>
    <w:rsid w:val="003A2360"/>
    <w:rsid w:val="003A2789"/>
    <w:rsid w:val="003A36EF"/>
    <w:rsid w:val="003A3A55"/>
    <w:rsid w:val="003A4E69"/>
    <w:rsid w:val="003A6534"/>
    <w:rsid w:val="003A6C44"/>
    <w:rsid w:val="003B1BE8"/>
    <w:rsid w:val="003B23E8"/>
    <w:rsid w:val="003B2B11"/>
    <w:rsid w:val="003B49AC"/>
    <w:rsid w:val="003B566F"/>
    <w:rsid w:val="003B5712"/>
    <w:rsid w:val="003B5A77"/>
    <w:rsid w:val="003B5BB5"/>
    <w:rsid w:val="003B6619"/>
    <w:rsid w:val="003B69EF"/>
    <w:rsid w:val="003B7B0A"/>
    <w:rsid w:val="003C089D"/>
    <w:rsid w:val="003C1EB1"/>
    <w:rsid w:val="003C2D79"/>
    <w:rsid w:val="003C44A0"/>
    <w:rsid w:val="003C50D1"/>
    <w:rsid w:val="003C5762"/>
    <w:rsid w:val="003C68D5"/>
    <w:rsid w:val="003C6D25"/>
    <w:rsid w:val="003C6F2B"/>
    <w:rsid w:val="003C6F78"/>
    <w:rsid w:val="003C73D2"/>
    <w:rsid w:val="003C73D5"/>
    <w:rsid w:val="003D2080"/>
    <w:rsid w:val="003D2804"/>
    <w:rsid w:val="003D29D7"/>
    <w:rsid w:val="003D2C84"/>
    <w:rsid w:val="003D5826"/>
    <w:rsid w:val="003D6960"/>
    <w:rsid w:val="003D6AA7"/>
    <w:rsid w:val="003E18DC"/>
    <w:rsid w:val="003E2A3B"/>
    <w:rsid w:val="003E3822"/>
    <w:rsid w:val="003E3A23"/>
    <w:rsid w:val="003E3AED"/>
    <w:rsid w:val="003E437C"/>
    <w:rsid w:val="003E72CB"/>
    <w:rsid w:val="003E72DA"/>
    <w:rsid w:val="003F21CF"/>
    <w:rsid w:val="003F2861"/>
    <w:rsid w:val="003F3F41"/>
    <w:rsid w:val="003F63A6"/>
    <w:rsid w:val="003F7A58"/>
    <w:rsid w:val="00400F93"/>
    <w:rsid w:val="004030E6"/>
    <w:rsid w:val="0040665E"/>
    <w:rsid w:val="0040730B"/>
    <w:rsid w:val="00412823"/>
    <w:rsid w:val="00412CE7"/>
    <w:rsid w:val="0041369B"/>
    <w:rsid w:val="00413871"/>
    <w:rsid w:val="004169B4"/>
    <w:rsid w:val="00416AD2"/>
    <w:rsid w:val="00416C18"/>
    <w:rsid w:val="004179D0"/>
    <w:rsid w:val="0042026A"/>
    <w:rsid w:val="0042123E"/>
    <w:rsid w:val="004215C9"/>
    <w:rsid w:val="00423738"/>
    <w:rsid w:val="004247B9"/>
    <w:rsid w:val="004255B9"/>
    <w:rsid w:val="00427780"/>
    <w:rsid w:val="0043095A"/>
    <w:rsid w:val="004327A0"/>
    <w:rsid w:val="00433ECF"/>
    <w:rsid w:val="00434F5F"/>
    <w:rsid w:val="00435972"/>
    <w:rsid w:val="00435AF1"/>
    <w:rsid w:val="00435E9A"/>
    <w:rsid w:val="00436B73"/>
    <w:rsid w:val="00436D42"/>
    <w:rsid w:val="004418C4"/>
    <w:rsid w:val="00441F83"/>
    <w:rsid w:val="004423FA"/>
    <w:rsid w:val="004427C0"/>
    <w:rsid w:val="00443658"/>
    <w:rsid w:val="004437B5"/>
    <w:rsid w:val="00443F83"/>
    <w:rsid w:val="00445612"/>
    <w:rsid w:val="00446421"/>
    <w:rsid w:val="00447B6D"/>
    <w:rsid w:val="00450294"/>
    <w:rsid w:val="00450919"/>
    <w:rsid w:val="00453443"/>
    <w:rsid w:val="00454A55"/>
    <w:rsid w:val="00454CA5"/>
    <w:rsid w:val="00455B7C"/>
    <w:rsid w:val="00460452"/>
    <w:rsid w:val="00461F17"/>
    <w:rsid w:val="004628D8"/>
    <w:rsid w:val="0046305C"/>
    <w:rsid w:val="00464319"/>
    <w:rsid w:val="004666BB"/>
    <w:rsid w:val="00466D3B"/>
    <w:rsid w:val="004725F0"/>
    <w:rsid w:val="004734B6"/>
    <w:rsid w:val="004744B0"/>
    <w:rsid w:val="00475289"/>
    <w:rsid w:val="0047568E"/>
    <w:rsid w:val="00481DA2"/>
    <w:rsid w:val="00481EA9"/>
    <w:rsid w:val="00483E2C"/>
    <w:rsid w:val="00484059"/>
    <w:rsid w:val="004857BB"/>
    <w:rsid w:val="00486787"/>
    <w:rsid w:val="00487076"/>
    <w:rsid w:val="00490447"/>
    <w:rsid w:val="004927DE"/>
    <w:rsid w:val="00493946"/>
    <w:rsid w:val="00494545"/>
    <w:rsid w:val="004A01B9"/>
    <w:rsid w:val="004A0958"/>
    <w:rsid w:val="004A363A"/>
    <w:rsid w:val="004A4355"/>
    <w:rsid w:val="004A4699"/>
    <w:rsid w:val="004A5BE1"/>
    <w:rsid w:val="004A5E26"/>
    <w:rsid w:val="004A6569"/>
    <w:rsid w:val="004A7226"/>
    <w:rsid w:val="004A7979"/>
    <w:rsid w:val="004B2D07"/>
    <w:rsid w:val="004B3C95"/>
    <w:rsid w:val="004B3EDA"/>
    <w:rsid w:val="004B5112"/>
    <w:rsid w:val="004B5511"/>
    <w:rsid w:val="004B5BCA"/>
    <w:rsid w:val="004B7C07"/>
    <w:rsid w:val="004B7F99"/>
    <w:rsid w:val="004C047C"/>
    <w:rsid w:val="004C12A0"/>
    <w:rsid w:val="004C2368"/>
    <w:rsid w:val="004C28E6"/>
    <w:rsid w:val="004C2C7D"/>
    <w:rsid w:val="004C5E70"/>
    <w:rsid w:val="004C75CA"/>
    <w:rsid w:val="004C7D69"/>
    <w:rsid w:val="004D007D"/>
    <w:rsid w:val="004D12C6"/>
    <w:rsid w:val="004D1A72"/>
    <w:rsid w:val="004D2DDC"/>
    <w:rsid w:val="004D3377"/>
    <w:rsid w:val="004D3F13"/>
    <w:rsid w:val="004D4462"/>
    <w:rsid w:val="004D4AD4"/>
    <w:rsid w:val="004D6573"/>
    <w:rsid w:val="004D766D"/>
    <w:rsid w:val="004E15E4"/>
    <w:rsid w:val="004E2879"/>
    <w:rsid w:val="004E4304"/>
    <w:rsid w:val="004E44F3"/>
    <w:rsid w:val="004E5163"/>
    <w:rsid w:val="004E63DF"/>
    <w:rsid w:val="004E6EDC"/>
    <w:rsid w:val="004F0AB4"/>
    <w:rsid w:val="004F1DB0"/>
    <w:rsid w:val="004F706F"/>
    <w:rsid w:val="005003CC"/>
    <w:rsid w:val="00500E2F"/>
    <w:rsid w:val="00500F0F"/>
    <w:rsid w:val="00500F20"/>
    <w:rsid w:val="0050133B"/>
    <w:rsid w:val="005031B7"/>
    <w:rsid w:val="00503449"/>
    <w:rsid w:val="0050422D"/>
    <w:rsid w:val="00506099"/>
    <w:rsid w:val="0050691E"/>
    <w:rsid w:val="005104E3"/>
    <w:rsid w:val="0051090B"/>
    <w:rsid w:val="00511904"/>
    <w:rsid w:val="00513A12"/>
    <w:rsid w:val="00513D4A"/>
    <w:rsid w:val="005145BA"/>
    <w:rsid w:val="00515848"/>
    <w:rsid w:val="00515EE1"/>
    <w:rsid w:val="00516790"/>
    <w:rsid w:val="0051794A"/>
    <w:rsid w:val="00522D53"/>
    <w:rsid w:val="0052376F"/>
    <w:rsid w:val="00524439"/>
    <w:rsid w:val="00524BB8"/>
    <w:rsid w:val="005255BC"/>
    <w:rsid w:val="00525B9E"/>
    <w:rsid w:val="0052600D"/>
    <w:rsid w:val="00526F5E"/>
    <w:rsid w:val="005271CA"/>
    <w:rsid w:val="00530224"/>
    <w:rsid w:val="00531ED3"/>
    <w:rsid w:val="005320CE"/>
    <w:rsid w:val="00532369"/>
    <w:rsid w:val="005348EB"/>
    <w:rsid w:val="00535AFB"/>
    <w:rsid w:val="0053755A"/>
    <w:rsid w:val="00540889"/>
    <w:rsid w:val="00540A0B"/>
    <w:rsid w:val="00540D81"/>
    <w:rsid w:val="00541B5B"/>
    <w:rsid w:val="0055263A"/>
    <w:rsid w:val="00552CA0"/>
    <w:rsid w:val="00554AE4"/>
    <w:rsid w:val="00556145"/>
    <w:rsid w:val="00556BF3"/>
    <w:rsid w:val="00556FF5"/>
    <w:rsid w:val="005572F0"/>
    <w:rsid w:val="00557612"/>
    <w:rsid w:val="00557E76"/>
    <w:rsid w:val="00561383"/>
    <w:rsid w:val="00561DBB"/>
    <w:rsid w:val="00564EE1"/>
    <w:rsid w:val="005675C0"/>
    <w:rsid w:val="005677D0"/>
    <w:rsid w:val="005702C6"/>
    <w:rsid w:val="00570F59"/>
    <w:rsid w:val="005720ED"/>
    <w:rsid w:val="005726F4"/>
    <w:rsid w:val="005736FA"/>
    <w:rsid w:val="00575FF1"/>
    <w:rsid w:val="00580724"/>
    <w:rsid w:val="005808D5"/>
    <w:rsid w:val="005837FB"/>
    <w:rsid w:val="005841E8"/>
    <w:rsid w:val="00585945"/>
    <w:rsid w:val="00586657"/>
    <w:rsid w:val="00586D74"/>
    <w:rsid w:val="005879A9"/>
    <w:rsid w:val="005901BC"/>
    <w:rsid w:val="0059084A"/>
    <w:rsid w:val="00590A7C"/>
    <w:rsid w:val="00590E18"/>
    <w:rsid w:val="005921D6"/>
    <w:rsid w:val="00592BA4"/>
    <w:rsid w:val="00595890"/>
    <w:rsid w:val="0059672B"/>
    <w:rsid w:val="00596F22"/>
    <w:rsid w:val="00597A6A"/>
    <w:rsid w:val="005A08C9"/>
    <w:rsid w:val="005A1408"/>
    <w:rsid w:val="005A24A3"/>
    <w:rsid w:val="005A3433"/>
    <w:rsid w:val="005A52F6"/>
    <w:rsid w:val="005A7FCB"/>
    <w:rsid w:val="005B0BFE"/>
    <w:rsid w:val="005B0C00"/>
    <w:rsid w:val="005B32E9"/>
    <w:rsid w:val="005B375D"/>
    <w:rsid w:val="005B4C58"/>
    <w:rsid w:val="005B5E3D"/>
    <w:rsid w:val="005B704A"/>
    <w:rsid w:val="005B7B73"/>
    <w:rsid w:val="005B7E46"/>
    <w:rsid w:val="005C0E9F"/>
    <w:rsid w:val="005C3BCD"/>
    <w:rsid w:val="005C5011"/>
    <w:rsid w:val="005C547A"/>
    <w:rsid w:val="005C54D9"/>
    <w:rsid w:val="005C66A2"/>
    <w:rsid w:val="005C6C6C"/>
    <w:rsid w:val="005C750A"/>
    <w:rsid w:val="005D016C"/>
    <w:rsid w:val="005D0EB4"/>
    <w:rsid w:val="005D2B0C"/>
    <w:rsid w:val="005D39DA"/>
    <w:rsid w:val="005D3E2E"/>
    <w:rsid w:val="005D3FF6"/>
    <w:rsid w:val="005D58CA"/>
    <w:rsid w:val="005D5B36"/>
    <w:rsid w:val="005D5E9C"/>
    <w:rsid w:val="005D60F6"/>
    <w:rsid w:val="005D65FA"/>
    <w:rsid w:val="005D6E26"/>
    <w:rsid w:val="005D76D6"/>
    <w:rsid w:val="005D7D23"/>
    <w:rsid w:val="005E0004"/>
    <w:rsid w:val="005E1EB6"/>
    <w:rsid w:val="005E3EEE"/>
    <w:rsid w:val="005E41D3"/>
    <w:rsid w:val="005E49DD"/>
    <w:rsid w:val="005E5519"/>
    <w:rsid w:val="005E7CA4"/>
    <w:rsid w:val="005F1879"/>
    <w:rsid w:val="005F1D2F"/>
    <w:rsid w:val="005F50C5"/>
    <w:rsid w:val="005F67D6"/>
    <w:rsid w:val="005F68ED"/>
    <w:rsid w:val="005F72C9"/>
    <w:rsid w:val="005F7436"/>
    <w:rsid w:val="005F7F8F"/>
    <w:rsid w:val="00601770"/>
    <w:rsid w:val="0060284E"/>
    <w:rsid w:val="006032C3"/>
    <w:rsid w:val="006033EA"/>
    <w:rsid w:val="006063A0"/>
    <w:rsid w:val="006075AD"/>
    <w:rsid w:val="006079AF"/>
    <w:rsid w:val="0061288F"/>
    <w:rsid w:val="00613607"/>
    <w:rsid w:val="00614727"/>
    <w:rsid w:val="00614CF6"/>
    <w:rsid w:val="00614EE2"/>
    <w:rsid w:val="00615779"/>
    <w:rsid w:val="00615EEB"/>
    <w:rsid w:val="00616903"/>
    <w:rsid w:val="00617469"/>
    <w:rsid w:val="00617FFA"/>
    <w:rsid w:val="0062067C"/>
    <w:rsid w:val="0062232E"/>
    <w:rsid w:val="00622534"/>
    <w:rsid w:val="00622F93"/>
    <w:rsid w:val="00624207"/>
    <w:rsid w:val="006242AC"/>
    <w:rsid w:val="00624F55"/>
    <w:rsid w:val="0062576A"/>
    <w:rsid w:val="00625943"/>
    <w:rsid w:val="006279AA"/>
    <w:rsid w:val="00627B78"/>
    <w:rsid w:val="00630569"/>
    <w:rsid w:val="00632A58"/>
    <w:rsid w:val="006340ED"/>
    <w:rsid w:val="0063459F"/>
    <w:rsid w:val="00634B4A"/>
    <w:rsid w:val="006367F6"/>
    <w:rsid w:val="00636E5D"/>
    <w:rsid w:val="00637F6A"/>
    <w:rsid w:val="00640747"/>
    <w:rsid w:val="00640C57"/>
    <w:rsid w:val="00641299"/>
    <w:rsid w:val="006424E0"/>
    <w:rsid w:val="00643AF8"/>
    <w:rsid w:val="00646736"/>
    <w:rsid w:val="0064687F"/>
    <w:rsid w:val="00646D8B"/>
    <w:rsid w:val="00650613"/>
    <w:rsid w:val="00650796"/>
    <w:rsid w:val="006510CC"/>
    <w:rsid w:val="00651DB7"/>
    <w:rsid w:val="006535ED"/>
    <w:rsid w:val="0065376C"/>
    <w:rsid w:val="00654628"/>
    <w:rsid w:val="006549B2"/>
    <w:rsid w:val="00655DC2"/>
    <w:rsid w:val="00656070"/>
    <w:rsid w:val="00656350"/>
    <w:rsid w:val="00656D9A"/>
    <w:rsid w:val="006578AB"/>
    <w:rsid w:val="0066001D"/>
    <w:rsid w:val="006623A1"/>
    <w:rsid w:val="00663843"/>
    <w:rsid w:val="00663A6F"/>
    <w:rsid w:val="00664397"/>
    <w:rsid w:val="0066462A"/>
    <w:rsid w:val="00666919"/>
    <w:rsid w:val="006700C0"/>
    <w:rsid w:val="00670800"/>
    <w:rsid w:val="0067217B"/>
    <w:rsid w:val="00673810"/>
    <w:rsid w:val="00673B4A"/>
    <w:rsid w:val="00675E8F"/>
    <w:rsid w:val="00676258"/>
    <w:rsid w:val="0067637D"/>
    <w:rsid w:val="006763BB"/>
    <w:rsid w:val="0068042C"/>
    <w:rsid w:val="00680761"/>
    <w:rsid w:val="00681E92"/>
    <w:rsid w:val="006850F7"/>
    <w:rsid w:val="0068646B"/>
    <w:rsid w:val="00686B46"/>
    <w:rsid w:val="006871EC"/>
    <w:rsid w:val="00687856"/>
    <w:rsid w:val="00687DA4"/>
    <w:rsid w:val="00690E08"/>
    <w:rsid w:val="0069292D"/>
    <w:rsid w:val="00693C6E"/>
    <w:rsid w:val="00693E4E"/>
    <w:rsid w:val="00694491"/>
    <w:rsid w:val="0069502E"/>
    <w:rsid w:val="0069737E"/>
    <w:rsid w:val="00697A63"/>
    <w:rsid w:val="00697F17"/>
    <w:rsid w:val="006A5C5C"/>
    <w:rsid w:val="006A5F5F"/>
    <w:rsid w:val="006A6571"/>
    <w:rsid w:val="006A6696"/>
    <w:rsid w:val="006A680B"/>
    <w:rsid w:val="006A6F0F"/>
    <w:rsid w:val="006A74E3"/>
    <w:rsid w:val="006A7C57"/>
    <w:rsid w:val="006B0D5A"/>
    <w:rsid w:val="006B1B03"/>
    <w:rsid w:val="006B5990"/>
    <w:rsid w:val="006B606D"/>
    <w:rsid w:val="006B7869"/>
    <w:rsid w:val="006B79D2"/>
    <w:rsid w:val="006C31E7"/>
    <w:rsid w:val="006C3C15"/>
    <w:rsid w:val="006D0D4C"/>
    <w:rsid w:val="006D2A2D"/>
    <w:rsid w:val="006D2A8A"/>
    <w:rsid w:val="006D4967"/>
    <w:rsid w:val="006D5CEA"/>
    <w:rsid w:val="006E1E6C"/>
    <w:rsid w:val="006E5B23"/>
    <w:rsid w:val="006E6608"/>
    <w:rsid w:val="006F1273"/>
    <w:rsid w:val="006F2CCF"/>
    <w:rsid w:val="006F317D"/>
    <w:rsid w:val="006F701D"/>
    <w:rsid w:val="00700868"/>
    <w:rsid w:val="00701BD2"/>
    <w:rsid w:val="00702927"/>
    <w:rsid w:val="007047FF"/>
    <w:rsid w:val="007058E1"/>
    <w:rsid w:val="00705A59"/>
    <w:rsid w:val="007077F8"/>
    <w:rsid w:val="00710C50"/>
    <w:rsid w:val="007128CA"/>
    <w:rsid w:val="00714DE6"/>
    <w:rsid w:val="0071545B"/>
    <w:rsid w:val="007160AA"/>
    <w:rsid w:val="00717891"/>
    <w:rsid w:val="00722DFB"/>
    <w:rsid w:val="007240C4"/>
    <w:rsid w:val="007256A5"/>
    <w:rsid w:val="0073029B"/>
    <w:rsid w:val="007309E7"/>
    <w:rsid w:val="0074105E"/>
    <w:rsid w:val="0074264F"/>
    <w:rsid w:val="007427E9"/>
    <w:rsid w:val="00743B09"/>
    <w:rsid w:val="00743EB2"/>
    <w:rsid w:val="007455D0"/>
    <w:rsid w:val="00751595"/>
    <w:rsid w:val="0075201A"/>
    <w:rsid w:val="00752059"/>
    <w:rsid w:val="007525C2"/>
    <w:rsid w:val="00752E56"/>
    <w:rsid w:val="00753334"/>
    <w:rsid w:val="007539C4"/>
    <w:rsid w:val="007556E2"/>
    <w:rsid w:val="00755FED"/>
    <w:rsid w:val="00756C38"/>
    <w:rsid w:val="00756D9F"/>
    <w:rsid w:val="00756E18"/>
    <w:rsid w:val="00757357"/>
    <w:rsid w:val="00760340"/>
    <w:rsid w:val="00761471"/>
    <w:rsid w:val="007619E7"/>
    <w:rsid w:val="00763D82"/>
    <w:rsid w:val="00764B48"/>
    <w:rsid w:val="0076671F"/>
    <w:rsid w:val="007707AD"/>
    <w:rsid w:val="0077151C"/>
    <w:rsid w:val="00771B0A"/>
    <w:rsid w:val="00772E0F"/>
    <w:rsid w:val="00774254"/>
    <w:rsid w:val="0077467A"/>
    <w:rsid w:val="00776695"/>
    <w:rsid w:val="00781767"/>
    <w:rsid w:val="007820AD"/>
    <w:rsid w:val="007833CB"/>
    <w:rsid w:val="00783A66"/>
    <w:rsid w:val="0078490E"/>
    <w:rsid w:val="0078723B"/>
    <w:rsid w:val="00787ABF"/>
    <w:rsid w:val="0079057D"/>
    <w:rsid w:val="00790FB8"/>
    <w:rsid w:val="007912F8"/>
    <w:rsid w:val="007914A5"/>
    <w:rsid w:val="00791F47"/>
    <w:rsid w:val="00792401"/>
    <w:rsid w:val="0079337A"/>
    <w:rsid w:val="00796524"/>
    <w:rsid w:val="00796A5E"/>
    <w:rsid w:val="007976F6"/>
    <w:rsid w:val="007A04C3"/>
    <w:rsid w:val="007A5A53"/>
    <w:rsid w:val="007A5AAC"/>
    <w:rsid w:val="007A7AAD"/>
    <w:rsid w:val="007A7D18"/>
    <w:rsid w:val="007B02D6"/>
    <w:rsid w:val="007B1138"/>
    <w:rsid w:val="007B2E75"/>
    <w:rsid w:val="007B4FAD"/>
    <w:rsid w:val="007B56E6"/>
    <w:rsid w:val="007B5E98"/>
    <w:rsid w:val="007B65E7"/>
    <w:rsid w:val="007B6660"/>
    <w:rsid w:val="007B76FF"/>
    <w:rsid w:val="007C1AD0"/>
    <w:rsid w:val="007C1AEC"/>
    <w:rsid w:val="007C1B53"/>
    <w:rsid w:val="007C1C20"/>
    <w:rsid w:val="007C28BD"/>
    <w:rsid w:val="007C421A"/>
    <w:rsid w:val="007C4227"/>
    <w:rsid w:val="007C4629"/>
    <w:rsid w:val="007C5805"/>
    <w:rsid w:val="007C7719"/>
    <w:rsid w:val="007C773A"/>
    <w:rsid w:val="007D2579"/>
    <w:rsid w:val="007D4B62"/>
    <w:rsid w:val="007D4E13"/>
    <w:rsid w:val="007D7771"/>
    <w:rsid w:val="007E3E4A"/>
    <w:rsid w:val="007E76DA"/>
    <w:rsid w:val="007F2059"/>
    <w:rsid w:val="007F227B"/>
    <w:rsid w:val="007F2906"/>
    <w:rsid w:val="007F4927"/>
    <w:rsid w:val="007F7D89"/>
    <w:rsid w:val="008003C7"/>
    <w:rsid w:val="00800F9B"/>
    <w:rsid w:val="00803E73"/>
    <w:rsid w:val="008040D5"/>
    <w:rsid w:val="008059BC"/>
    <w:rsid w:val="00805FAF"/>
    <w:rsid w:val="00805FEF"/>
    <w:rsid w:val="00806B71"/>
    <w:rsid w:val="00806BA0"/>
    <w:rsid w:val="0080729F"/>
    <w:rsid w:val="00807492"/>
    <w:rsid w:val="008079D8"/>
    <w:rsid w:val="0081008A"/>
    <w:rsid w:val="00810B68"/>
    <w:rsid w:val="00811140"/>
    <w:rsid w:val="008113A3"/>
    <w:rsid w:val="0081193D"/>
    <w:rsid w:val="00812034"/>
    <w:rsid w:val="00813652"/>
    <w:rsid w:val="00814EDD"/>
    <w:rsid w:val="00815D96"/>
    <w:rsid w:val="00817A3D"/>
    <w:rsid w:val="00817E61"/>
    <w:rsid w:val="00820356"/>
    <w:rsid w:val="00821588"/>
    <w:rsid w:val="0082245E"/>
    <w:rsid w:val="008247CE"/>
    <w:rsid w:val="008254E2"/>
    <w:rsid w:val="00826154"/>
    <w:rsid w:val="00826371"/>
    <w:rsid w:val="0082792A"/>
    <w:rsid w:val="008310D0"/>
    <w:rsid w:val="00831111"/>
    <w:rsid w:val="00832AA2"/>
    <w:rsid w:val="00834D13"/>
    <w:rsid w:val="008354B6"/>
    <w:rsid w:val="00836FA0"/>
    <w:rsid w:val="008413CD"/>
    <w:rsid w:val="00841423"/>
    <w:rsid w:val="00841678"/>
    <w:rsid w:val="00841ED6"/>
    <w:rsid w:val="008430A2"/>
    <w:rsid w:val="00843D81"/>
    <w:rsid w:val="008460A0"/>
    <w:rsid w:val="0084651E"/>
    <w:rsid w:val="00846C13"/>
    <w:rsid w:val="00847AF3"/>
    <w:rsid w:val="0085090C"/>
    <w:rsid w:val="00850CAA"/>
    <w:rsid w:val="00850F67"/>
    <w:rsid w:val="00853EBB"/>
    <w:rsid w:val="00854C50"/>
    <w:rsid w:val="00854C6A"/>
    <w:rsid w:val="008552B7"/>
    <w:rsid w:val="008556FE"/>
    <w:rsid w:val="00855C9D"/>
    <w:rsid w:val="00861F02"/>
    <w:rsid w:val="00861F76"/>
    <w:rsid w:val="00865319"/>
    <w:rsid w:val="00865532"/>
    <w:rsid w:val="008655E2"/>
    <w:rsid w:val="008661F6"/>
    <w:rsid w:val="00866B0E"/>
    <w:rsid w:val="008725A2"/>
    <w:rsid w:val="00873923"/>
    <w:rsid w:val="00874E79"/>
    <w:rsid w:val="00876993"/>
    <w:rsid w:val="00877152"/>
    <w:rsid w:val="00880B36"/>
    <w:rsid w:val="00883272"/>
    <w:rsid w:val="008841A2"/>
    <w:rsid w:val="0088600C"/>
    <w:rsid w:val="008872E6"/>
    <w:rsid w:val="008900EF"/>
    <w:rsid w:val="00893B00"/>
    <w:rsid w:val="0089457C"/>
    <w:rsid w:val="00895511"/>
    <w:rsid w:val="00896124"/>
    <w:rsid w:val="00896543"/>
    <w:rsid w:val="00897279"/>
    <w:rsid w:val="008A1C59"/>
    <w:rsid w:val="008A2273"/>
    <w:rsid w:val="008A229C"/>
    <w:rsid w:val="008A505A"/>
    <w:rsid w:val="008A577C"/>
    <w:rsid w:val="008A5805"/>
    <w:rsid w:val="008A6DAA"/>
    <w:rsid w:val="008A77AB"/>
    <w:rsid w:val="008A7866"/>
    <w:rsid w:val="008A7FD9"/>
    <w:rsid w:val="008B3318"/>
    <w:rsid w:val="008B3D23"/>
    <w:rsid w:val="008B6F49"/>
    <w:rsid w:val="008B7386"/>
    <w:rsid w:val="008B7D6A"/>
    <w:rsid w:val="008C044A"/>
    <w:rsid w:val="008C227A"/>
    <w:rsid w:val="008C2CCF"/>
    <w:rsid w:val="008C30FE"/>
    <w:rsid w:val="008C399B"/>
    <w:rsid w:val="008C4A53"/>
    <w:rsid w:val="008C50A1"/>
    <w:rsid w:val="008C5349"/>
    <w:rsid w:val="008C6310"/>
    <w:rsid w:val="008D29A0"/>
    <w:rsid w:val="008D2E03"/>
    <w:rsid w:val="008D59AA"/>
    <w:rsid w:val="008D5A16"/>
    <w:rsid w:val="008E0030"/>
    <w:rsid w:val="008E1D10"/>
    <w:rsid w:val="008E492D"/>
    <w:rsid w:val="008E59FF"/>
    <w:rsid w:val="008E5EBD"/>
    <w:rsid w:val="008E60D3"/>
    <w:rsid w:val="008E6D66"/>
    <w:rsid w:val="008F05B8"/>
    <w:rsid w:val="008F2FF9"/>
    <w:rsid w:val="008F35F4"/>
    <w:rsid w:val="008F3A96"/>
    <w:rsid w:val="008F5CDA"/>
    <w:rsid w:val="008F6EAF"/>
    <w:rsid w:val="00900F19"/>
    <w:rsid w:val="00900F56"/>
    <w:rsid w:val="00901248"/>
    <w:rsid w:val="0090133A"/>
    <w:rsid w:val="00903D8E"/>
    <w:rsid w:val="0090418A"/>
    <w:rsid w:val="00906BBA"/>
    <w:rsid w:val="0091349D"/>
    <w:rsid w:val="00914C37"/>
    <w:rsid w:val="00916192"/>
    <w:rsid w:val="00916514"/>
    <w:rsid w:val="00916FF1"/>
    <w:rsid w:val="009173E2"/>
    <w:rsid w:val="00917973"/>
    <w:rsid w:val="00917B0B"/>
    <w:rsid w:val="0092043D"/>
    <w:rsid w:val="0092044E"/>
    <w:rsid w:val="0092087E"/>
    <w:rsid w:val="009213A9"/>
    <w:rsid w:val="00922809"/>
    <w:rsid w:val="009249C8"/>
    <w:rsid w:val="00927347"/>
    <w:rsid w:val="00931424"/>
    <w:rsid w:val="00931D2E"/>
    <w:rsid w:val="0093384E"/>
    <w:rsid w:val="009359FA"/>
    <w:rsid w:val="0094082A"/>
    <w:rsid w:val="00941EAF"/>
    <w:rsid w:val="00942CE8"/>
    <w:rsid w:val="00942F23"/>
    <w:rsid w:val="009439D0"/>
    <w:rsid w:val="00944430"/>
    <w:rsid w:val="009446A3"/>
    <w:rsid w:val="00945355"/>
    <w:rsid w:val="009459A6"/>
    <w:rsid w:val="009478CE"/>
    <w:rsid w:val="00950820"/>
    <w:rsid w:val="00950E9D"/>
    <w:rsid w:val="009518A3"/>
    <w:rsid w:val="009525F4"/>
    <w:rsid w:val="00953BB2"/>
    <w:rsid w:val="00954242"/>
    <w:rsid w:val="0095582D"/>
    <w:rsid w:val="00955834"/>
    <w:rsid w:val="00955D3F"/>
    <w:rsid w:val="00956AF1"/>
    <w:rsid w:val="00956B2D"/>
    <w:rsid w:val="00957222"/>
    <w:rsid w:val="00960545"/>
    <w:rsid w:val="0096186E"/>
    <w:rsid w:val="009618D1"/>
    <w:rsid w:val="00963932"/>
    <w:rsid w:val="00965430"/>
    <w:rsid w:val="00965E6E"/>
    <w:rsid w:val="009666A8"/>
    <w:rsid w:val="00972AAE"/>
    <w:rsid w:val="00973B90"/>
    <w:rsid w:val="009748DE"/>
    <w:rsid w:val="009758A0"/>
    <w:rsid w:val="009769F8"/>
    <w:rsid w:val="00981455"/>
    <w:rsid w:val="00983B8C"/>
    <w:rsid w:val="00984DEC"/>
    <w:rsid w:val="00986319"/>
    <w:rsid w:val="009865D9"/>
    <w:rsid w:val="00987D1B"/>
    <w:rsid w:val="0099105C"/>
    <w:rsid w:val="00991094"/>
    <w:rsid w:val="00991F58"/>
    <w:rsid w:val="00991F9B"/>
    <w:rsid w:val="00992ABD"/>
    <w:rsid w:val="0099356D"/>
    <w:rsid w:val="00993BD1"/>
    <w:rsid w:val="00993CF0"/>
    <w:rsid w:val="00995314"/>
    <w:rsid w:val="00995830"/>
    <w:rsid w:val="00995F54"/>
    <w:rsid w:val="0099621F"/>
    <w:rsid w:val="00996869"/>
    <w:rsid w:val="00996969"/>
    <w:rsid w:val="009A1754"/>
    <w:rsid w:val="009A19F8"/>
    <w:rsid w:val="009A4731"/>
    <w:rsid w:val="009A4E4E"/>
    <w:rsid w:val="009A5B92"/>
    <w:rsid w:val="009A5D4A"/>
    <w:rsid w:val="009A62F8"/>
    <w:rsid w:val="009B0DBE"/>
    <w:rsid w:val="009B1142"/>
    <w:rsid w:val="009B1AA1"/>
    <w:rsid w:val="009B23B0"/>
    <w:rsid w:val="009B2980"/>
    <w:rsid w:val="009B3B25"/>
    <w:rsid w:val="009B4A10"/>
    <w:rsid w:val="009B5F73"/>
    <w:rsid w:val="009B6303"/>
    <w:rsid w:val="009B67D9"/>
    <w:rsid w:val="009B6E98"/>
    <w:rsid w:val="009B7DF0"/>
    <w:rsid w:val="009C0948"/>
    <w:rsid w:val="009C0E53"/>
    <w:rsid w:val="009C22D1"/>
    <w:rsid w:val="009C252D"/>
    <w:rsid w:val="009C7EE3"/>
    <w:rsid w:val="009D0883"/>
    <w:rsid w:val="009D1957"/>
    <w:rsid w:val="009D196F"/>
    <w:rsid w:val="009D211C"/>
    <w:rsid w:val="009D2EE5"/>
    <w:rsid w:val="009D4144"/>
    <w:rsid w:val="009D44A4"/>
    <w:rsid w:val="009D4885"/>
    <w:rsid w:val="009D6696"/>
    <w:rsid w:val="009D69FB"/>
    <w:rsid w:val="009D75DF"/>
    <w:rsid w:val="009E0654"/>
    <w:rsid w:val="009E1C55"/>
    <w:rsid w:val="009E48DE"/>
    <w:rsid w:val="009E4A45"/>
    <w:rsid w:val="009E4B19"/>
    <w:rsid w:val="009E5419"/>
    <w:rsid w:val="009E65AC"/>
    <w:rsid w:val="009E6850"/>
    <w:rsid w:val="009E6C55"/>
    <w:rsid w:val="009E6C5C"/>
    <w:rsid w:val="009F1629"/>
    <w:rsid w:val="009F1793"/>
    <w:rsid w:val="009F1A34"/>
    <w:rsid w:val="009F5149"/>
    <w:rsid w:val="009F5541"/>
    <w:rsid w:val="00A023AA"/>
    <w:rsid w:val="00A03AEF"/>
    <w:rsid w:val="00A045CA"/>
    <w:rsid w:val="00A0493A"/>
    <w:rsid w:val="00A04A31"/>
    <w:rsid w:val="00A10CCB"/>
    <w:rsid w:val="00A10D4A"/>
    <w:rsid w:val="00A10FB6"/>
    <w:rsid w:val="00A11E82"/>
    <w:rsid w:val="00A133A0"/>
    <w:rsid w:val="00A1602F"/>
    <w:rsid w:val="00A16763"/>
    <w:rsid w:val="00A17131"/>
    <w:rsid w:val="00A17A6C"/>
    <w:rsid w:val="00A17C8D"/>
    <w:rsid w:val="00A21549"/>
    <w:rsid w:val="00A22F0D"/>
    <w:rsid w:val="00A23E0C"/>
    <w:rsid w:val="00A2509B"/>
    <w:rsid w:val="00A30F41"/>
    <w:rsid w:val="00A325BB"/>
    <w:rsid w:val="00A32FFE"/>
    <w:rsid w:val="00A3392F"/>
    <w:rsid w:val="00A34926"/>
    <w:rsid w:val="00A34AAB"/>
    <w:rsid w:val="00A34E68"/>
    <w:rsid w:val="00A350C7"/>
    <w:rsid w:val="00A369BA"/>
    <w:rsid w:val="00A407E2"/>
    <w:rsid w:val="00A439E6"/>
    <w:rsid w:val="00A43A3E"/>
    <w:rsid w:val="00A44776"/>
    <w:rsid w:val="00A45D4D"/>
    <w:rsid w:val="00A46288"/>
    <w:rsid w:val="00A474EA"/>
    <w:rsid w:val="00A53E22"/>
    <w:rsid w:val="00A5462E"/>
    <w:rsid w:val="00A548AB"/>
    <w:rsid w:val="00A57C13"/>
    <w:rsid w:val="00A57C64"/>
    <w:rsid w:val="00A6015D"/>
    <w:rsid w:val="00A60C6D"/>
    <w:rsid w:val="00A64864"/>
    <w:rsid w:val="00A65019"/>
    <w:rsid w:val="00A65C12"/>
    <w:rsid w:val="00A6725D"/>
    <w:rsid w:val="00A708C7"/>
    <w:rsid w:val="00A71EA4"/>
    <w:rsid w:val="00A72082"/>
    <w:rsid w:val="00A723E1"/>
    <w:rsid w:val="00A72A6D"/>
    <w:rsid w:val="00A730AB"/>
    <w:rsid w:val="00A7447B"/>
    <w:rsid w:val="00A75983"/>
    <w:rsid w:val="00A76E52"/>
    <w:rsid w:val="00A771F6"/>
    <w:rsid w:val="00A828BB"/>
    <w:rsid w:val="00A83F67"/>
    <w:rsid w:val="00A84169"/>
    <w:rsid w:val="00A8489D"/>
    <w:rsid w:val="00A85A8E"/>
    <w:rsid w:val="00A864D7"/>
    <w:rsid w:val="00A869B3"/>
    <w:rsid w:val="00A90D3B"/>
    <w:rsid w:val="00A92141"/>
    <w:rsid w:val="00A95BCC"/>
    <w:rsid w:val="00A9709A"/>
    <w:rsid w:val="00AA18B9"/>
    <w:rsid w:val="00AA2896"/>
    <w:rsid w:val="00AA4D01"/>
    <w:rsid w:val="00AA56F3"/>
    <w:rsid w:val="00AA5F0E"/>
    <w:rsid w:val="00AA7263"/>
    <w:rsid w:val="00AB1D61"/>
    <w:rsid w:val="00AB1F2A"/>
    <w:rsid w:val="00AB41BC"/>
    <w:rsid w:val="00AB4228"/>
    <w:rsid w:val="00AB44A4"/>
    <w:rsid w:val="00AB5D25"/>
    <w:rsid w:val="00AB6666"/>
    <w:rsid w:val="00AB7350"/>
    <w:rsid w:val="00AC0052"/>
    <w:rsid w:val="00AC06BA"/>
    <w:rsid w:val="00AC06C8"/>
    <w:rsid w:val="00AC1B20"/>
    <w:rsid w:val="00AC3695"/>
    <w:rsid w:val="00AC424B"/>
    <w:rsid w:val="00AC4929"/>
    <w:rsid w:val="00AC495D"/>
    <w:rsid w:val="00AC526A"/>
    <w:rsid w:val="00AC640B"/>
    <w:rsid w:val="00AC7C97"/>
    <w:rsid w:val="00AC7EAE"/>
    <w:rsid w:val="00AD11C0"/>
    <w:rsid w:val="00AD1524"/>
    <w:rsid w:val="00AD15CB"/>
    <w:rsid w:val="00AD1874"/>
    <w:rsid w:val="00AD1A42"/>
    <w:rsid w:val="00AD2E44"/>
    <w:rsid w:val="00AD373D"/>
    <w:rsid w:val="00AD47DE"/>
    <w:rsid w:val="00AD59BD"/>
    <w:rsid w:val="00AD5AEF"/>
    <w:rsid w:val="00AD61AE"/>
    <w:rsid w:val="00AD6273"/>
    <w:rsid w:val="00AD7BDE"/>
    <w:rsid w:val="00AE0937"/>
    <w:rsid w:val="00AE294D"/>
    <w:rsid w:val="00AE367B"/>
    <w:rsid w:val="00AE4475"/>
    <w:rsid w:val="00AE4658"/>
    <w:rsid w:val="00AE4F3A"/>
    <w:rsid w:val="00AE54EF"/>
    <w:rsid w:val="00AF103E"/>
    <w:rsid w:val="00AF3BF2"/>
    <w:rsid w:val="00AF4FA7"/>
    <w:rsid w:val="00AF59C0"/>
    <w:rsid w:val="00AF5E54"/>
    <w:rsid w:val="00AF72EA"/>
    <w:rsid w:val="00AF7CBB"/>
    <w:rsid w:val="00B00722"/>
    <w:rsid w:val="00B0409B"/>
    <w:rsid w:val="00B050B1"/>
    <w:rsid w:val="00B05936"/>
    <w:rsid w:val="00B0704E"/>
    <w:rsid w:val="00B11D2A"/>
    <w:rsid w:val="00B129C7"/>
    <w:rsid w:val="00B12C3D"/>
    <w:rsid w:val="00B16E96"/>
    <w:rsid w:val="00B2074A"/>
    <w:rsid w:val="00B22C0B"/>
    <w:rsid w:val="00B246D4"/>
    <w:rsid w:val="00B25590"/>
    <w:rsid w:val="00B27493"/>
    <w:rsid w:val="00B30004"/>
    <w:rsid w:val="00B30F34"/>
    <w:rsid w:val="00B310A8"/>
    <w:rsid w:val="00B324F4"/>
    <w:rsid w:val="00B3275A"/>
    <w:rsid w:val="00B33E6C"/>
    <w:rsid w:val="00B34BB7"/>
    <w:rsid w:val="00B36636"/>
    <w:rsid w:val="00B42492"/>
    <w:rsid w:val="00B44098"/>
    <w:rsid w:val="00B506EE"/>
    <w:rsid w:val="00B50D18"/>
    <w:rsid w:val="00B5308B"/>
    <w:rsid w:val="00B53F93"/>
    <w:rsid w:val="00B55E6E"/>
    <w:rsid w:val="00B5688C"/>
    <w:rsid w:val="00B568DC"/>
    <w:rsid w:val="00B60772"/>
    <w:rsid w:val="00B611F7"/>
    <w:rsid w:val="00B627F2"/>
    <w:rsid w:val="00B6295C"/>
    <w:rsid w:val="00B62ED4"/>
    <w:rsid w:val="00B641F4"/>
    <w:rsid w:val="00B65001"/>
    <w:rsid w:val="00B66905"/>
    <w:rsid w:val="00B70F69"/>
    <w:rsid w:val="00B71114"/>
    <w:rsid w:val="00B7216B"/>
    <w:rsid w:val="00B727DF"/>
    <w:rsid w:val="00B72CEC"/>
    <w:rsid w:val="00B76650"/>
    <w:rsid w:val="00B80632"/>
    <w:rsid w:val="00B81260"/>
    <w:rsid w:val="00B8495B"/>
    <w:rsid w:val="00B8547E"/>
    <w:rsid w:val="00B857C7"/>
    <w:rsid w:val="00B86270"/>
    <w:rsid w:val="00B8651A"/>
    <w:rsid w:val="00B87482"/>
    <w:rsid w:val="00B90AA4"/>
    <w:rsid w:val="00B90BAE"/>
    <w:rsid w:val="00B9128E"/>
    <w:rsid w:val="00B91D4C"/>
    <w:rsid w:val="00B91E7A"/>
    <w:rsid w:val="00B9274C"/>
    <w:rsid w:val="00B931C8"/>
    <w:rsid w:val="00B93D64"/>
    <w:rsid w:val="00B9463A"/>
    <w:rsid w:val="00B94DEC"/>
    <w:rsid w:val="00B95E91"/>
    <w:rsid w:val="00B97C4C"/>
    <w:rsid w:val="00BA0FC2"/>
    <w:rsid w:val="00BA369A"/>
    <w:rsid w:val="00BA3CFD"/>
    <w:rsid w:val="00BA4BD9"/>
    <w:rsid w:val="00BA56FD"/>
    <w:rsid w:val="00BA5FC5"/>
    <w:rsid w:val="00BA7287"/>
    <w:rsid w:val="00BA7479"/>
    <w:rsid w:val="00BB069B"/>
    <w:rsid w:val="00BB2107"/>
    <w:rsid w:val="00BB2A1A"/>
    <w:rsid w:val="00BB3398"/>
    <w:rsid w:val="00BB3D52"/>
    <w:rsid w:val="00BB4DD7"/>
    <w:rsid w:val="00BB5382"/>
    <w:rsid w:val="00BB6C38"/>
    <w:rsid w:val="00BB7266"/>
    <w:rsid w:val="00BB72AD"/>
    <w:rsid w:val="00BC53E9"/>
    <w:rsid w:val="00BC5496"/>
    <w:rsid w:val="00BC7171"/>
    <w:rsid w:val="00BC73C8"/>
    <w:rsid w:val="00BC778B"/>
    <w:rsid w:val="00BC795A"/>
    <w:rsid w:val="00BD02DE"/>
    <w:rsid w:val="00BD077D"/>
    <w:rsid w:val="00BD08C2"/>
    <w:rsid w:val="00BD1363"/>
    <w:rsid w:val="00BD5138"/>
    <w:rsid w:val="00BD5DAC"/>
    <w:rsid w:val="00BD609C"/>
    <w:rsid w:val="00BD701E"/>
    <w:rsid w:val="00BD704C"/>
    <w:rsid w:val="00BE134A"/>
    <w:rsid w:val="00BE137C"/>
    <w:rsid w:val="00BE16F8"/>
    <w:rsid w:val="00BE2467"/>
    <w:rsid w:val="00BE2667"/>
    <w:rsid w:val="00BE4D0B"/>
    <w:rsid w:val="00BE78BE"/>
    <w:rsid w:val="00BF0E83"/>
    <w:rsid w:val="00BF131B"/>
    <w:rsid w:val="00BF17C1"/>
    <w:rsid w:val="00BF2822"/>
    <w:rsid w:val="00BF366C"/>
    <w:rsid w:val="00BF4D8A"/>
    <w:rsid w:val="00BF4D94"/>
    <w:rsid w:val="00BF4FAC"/>
    <w:rsid w:val="00BF608E"/>
    <w:rsid w:val="00BF727D"/>
    <w:rsid w:val="00C0068D"/>
    <w:rsid w:val="00C00F36"/>
    <w:rsid w:val="00C025BC"/>
    <w:rsid w:val="00C02856"/>
    <w:rsid w:val="00C03A52"/>
    <w:rsid w:val="00C04FF2"/>
    <w:rsid w:val="00C05555"/>
    <w:rsid w:val="00C055C8"/>
    <w:rsid w:val="00C06806"/>
    <w:rsid w:val="00C07CFE"/>
    <w:rsid w:val="00C10B7E"/>
    <w:rsid w:val="00C10CA6"/>
    <w:rsid w:val="00C11656"/>
    <w:rsid w:val="00C11C48"/>
    <w:rsid w:val="00C11EEE"/>
    <w:rsid w:val="00C127F7"/>
    <w:rsid w:val="00C12BBC"/>
    <w:rsid w:val="00C13256"/>
    <w:rsid w:val="00C147F3"/>
    <w:rsid w:val="00C14B89"/>
    <w:rsid w:val="00C14E7E"/>
    <w:rsid w:val="00C2043C"/>
    <w:rsid w:val="00C206B3"/>
    <w:rsid w:val="00C20CD9"/>
    <w:rsid w:val="00C22E8A"/>
    <w:rsid w:val="00C23FD4"/>
    <w:rsid w:val="00C241DC"/>
    <w:rsid w:val="00C242C5"/>
    <w:rsid w:val="00C2431F"/>
    <w:rsid w:val="00C24BC4"/>
    <w:rsid w:val="00C24FA1"/>
    <w:rsid w:val="00C2704B"/>
    <w:rsid w:val="00C2707C"/>
    <w:rsid w:val="00C27B01"/>
    <w:rsid w:val="00C27E02"/>
    <w:rsid w:val="00C30835"/>
    <w:rsid w:val="00C30B06"/>
    <w:rsid w:val="00C330F9"/>
    <w:rsid w:val="00C3345E"/>
    <w:rsid w:val="00C336BF"/>
    <w:rsid w:val="00C33A5D"/>
    <w:rsid w:val="00C33D8C"/>
    <w:rsid w:val="00C344BA"/>
    <w:rsid w:val="00C36A36"/>
    <w:rsid w:val="00C36ECF"/>
    <w:rsid w:val="00C40ECD"/>
    <w:rsid w:val="00C43C70"/>
    <w:rsid w:val="00C440CC"/>
    <w:rsid w:val="00C44588"/>
    <w:rsid w:val="00C45796"/>
    <w:rsid w:val="00C512F5"/>
    <w:rsid w:val="00C52AAF"/>
    <w:rsid w:val="00C54285"/>
    <w:rsid w:val="00C54452"/>
    <w:rsid w:val="00C554C4"/>
    <w:rsid w:val="00C555A6"/>
    <w:rsid w:val="00C55CFD"/>
    <w:rsid w:val="00C56AAF"/>
    <w:rsid w:val="00C5734D"/>
    <w:rsid w:val="00C6033B"/>
    <w:rsid w:val="00C6177A"/>
    <w:rsid w:val="00C6275B"/>
    <w:rsid w:val="00C660D4"/>
    <w:rsid w:val="00C66EF7"/>
    <w:rsid w:val="00C67B04"/>
    <w:rsid w:val="00C7291F"/>
    <w:rsid w:val="00C7435D"/>
    <w:rsid w:val="00C74BC2"/>
    <w:rsid w:val="00C74F6C"/>
    <w:rsid w:val="00C760F2"/>
    <w:rsid w:val="00C76519"/>
    <w:rsid w:val="00C76F76"/>
    <w:rsid w:val="00C77E05"/>
    <w:rsid w:val="00C836BD"/>
    <w:rsid w:val="00C84707"/>
    <w:rsid w:val="00C8590B"/>
    <w:rsid w:val="00C86C44"/>
    <w:rsid w:val="00C921B8"/>
    <w:rsid w:val="00C925F5"/>
    <w:rsid w:val="00C93412"/>
    <w:rsid w:val="00C93A27"/>
    <w:rsid w:val="00C94268"/>
    <w:rsid w:val="00C94C52"/>
    <w:rsid w:val="00C95F59"/>
    <w:rsid w:val="00C9736E"/>
    <w:rsid w:val="00C97805"/>
    <w:rsid w:val="00CA03BE"/>
    <w:rsid w:val="00CA06C0"/>
    <w:rsid w:val="00CA2922"/>
    <w:rsid w:val="00CA42AA"/>
    <w:rsid w:val="00CA53A3"/>
    <w:rsid w:val="00CA73AA"/>
    <w:rsid w:val="00CB2610"/>
    <w:rsid w:val="00CB27AE"/>
    <w:rsid w:val="00CB39B4"/>
    <w:rsid w:val="00CB416E"/>
    <w:rsid w:val="00CB6823"/>
    <w:rsid w:val="00CB7516"/>
    <w:rsid w:val="00CB7EB3"/>
    <w:rsid w:val="00CC03A0"/>
    <w:rsid w:val="00CC173E"/>
    <w:rsid w:val="00CC1BD6"/>
    <w:rsid w:val="00CC2769"/>
    <w:rsid w:val="00CC36BA"/>
    <w:rsid w:val="00CC396B"/>
    <w:rsid w:val="00CC3F8C"/>
    <w:rsid w:val="00CC4B57"/>
    <w:rsid w:val="00CC51BB"/>
    <w:rsid w:val="00CC5651"/>
    <w:rsid w:val="00CC6891"/>
    <w:rsid w:val="00CC6A17"/>
    <w:rsid w:val="00CC6FB2"/>
    <w:rsid w:val="00CC7042"/>
    <w:rsid w:val="00CD4780"/>
    <w:rsid w:val="00CD58E2"/>
    <w:rsid w:val="00CD5DAA"/>
    <w:rsid w:val="00CD5DD8"/>
    <w:rsid w:val="00CD68C9"/>
    <w:rsid w:val="00CE41D1"/>
    <w:rsid w:val="00CE4A78"/>
    <w:rsid w:val="00CE5C7C"/>
    <w:rsid w:val="00CE5D21"/>
    <w:rsid w:val="00CE6924"/>
    <w:rsid w:val="00CE6A5A"/>
    <w:rsid w:val="00CE6F90"/>
    <w:rsid w:val="00CF1AEE"/>
    <w:rsid w:val="00CF3577"/>
    <w:rsid w:val="00CF3D55"/>
    <w:rsid w:val="00CF56FC"/>
    <w:rsid w:val="00CF59CB"/>
    <w:rsid w:val="00D01E26"/>
    <w:rsid w:val="00D02248"/>
    <w:rsid w:val="00D02A37"/>
    <w:rsid w:val="00D05598"/>
    <w:rsid w:val="00D05955"/>
    <w:rsid w:val="00D05F8D"/>
    <w:rsid w:val="00D0621E"/>
    <w:rsid w:val="00D07E2B"/>
    <w:rsid w:val="00D11502"/>
    <w:rsid w:val="00D11E71"/>
    <w:rsid w:val="00D134C3"/>
    <w:rsid w:val="00D1372F"/>
    <w:rsid w:val="00D147A4"/>
    <w:rsid w:val="00D1655C"/>
    <w:rsid w:val="00D16787"/>
    <w:rsid w:val="00D16B64"/>
    <w:rsid w:val="00D17287"/>
    <w:rsid w:val="00D17BF1"/>
    <w:rsid w:val="00D20D14"/>
    <w:rsid w:val="00D261AF"/>
    <w:rsid w:val="00D263F7"/>
    <w:rsid w:val="00D26869"/>
    <w:rsid w:val="00D26E07"/>
    <w:rsid w:val="00D27556"/>
    <w:rsid w:val="00D2796B"/>
    <w:rsid w:val="00D302A0"/>
    <w:rsid w:val="00D30DC8"/>
    <w:rsid w:val="00D31E65"/>
    <w:rsid w:val="00D323DB"/>
    <w:rsid w:val="00D32CD8"/>
    <w:rsid w:val="00D33725"/>
    <w:rsid w:val="00D356FF"/>
    <w:rsid w:val="00D37309"/>
    <w:rsid w:val="00D37FDA"/>
    <w:rsid w:val="00D40412"/>
    <w:rsid w:val="00D40731"/>
    <w:rsid w:val="00D407C0"/>
    <w:rsid w:val="00D41117"/>
    <w:rsid w:val="00D43443"/>
    <w:rsid w:val="00D442C7"/>
    <w:rsid w:val="00D44F2E"/>
    <w:rsid w:val="00D46C34"/>
    <w:rsid w:val="00D478FA"/>
    <w:rsid w:val="00D47F2F"/>
    <w:rsid w:val="00D507AF"/>
    <w:rsid w:val="00D50AFE"/>
    <w:rsid w:val="00D50E06"/>
    <w:rsid w:val="00D531F9"/>
    <w:rsid w:val="00D55EC7"/>
    <w:rsid w:val="00D561BB"/>
    <w:rsid w:val="00D5641A"/>
    <w:rsid w:val="00D61B2E"/>
    <w:rsid w:val="00D6288C"/>
    <w:rsid w:val="00D63594"/>
    <w:rsid w:val="00D63B0F"/>
    <w:rsid w:val="00D6487E"/>
    <w:rsid w:val="00D66591"/>
    <w:rsid w:val="00D677AB"/>
    <w:rsid w:val="00D70B47"/>
    <w:rsid w:val="00D715C0"/>
    <w:rsid w:val="00D71C17"/>
    <w:rsid w:val="00D720EE"/>
    <w:rsid w:val="00D729DB"/>
    <w:rsid w:val="00D72FEB"/>
    <w:rsid w:val="00D73488"/>
    <w:rsid w:val="00D73D5F"/>
    <w:rsid w:val="00D751D6"/>
    <w:rsid w:val="00D7539C"/>
    <w:rsid w:val="00D77529"/>
    <w:rsid w:val="00D77A66"/>
    <w:rsid w:val="00D77B94"/>
    <w:rsid w:val="00D80BFB"/>
    <w:rsid w:val="00D825C4"/>
    <w:rsid w:val="00D859DC"/>
    <w:rsid w:val="00D8650C"/>
    <w:rsid w:val="00D8655E"/>
    <w:rsid w:val="00D9040B"/>
    <w:rsid w:val="00D9044F"/>
    <w:rsid w:val="00D91B12"/>
    <w:rsid w:val="00D91DEB"/>
    <w:rsid w:val="00D93ADD"/>
    <w:rsid w:val="00D93B2E"/>
    <w:rsid w:val="00D93DF3"/>
    <w:rsid w:val="00D94A46"/>
    <w:rsid w:val="00D957FC"/>
    <w:rsid w:val="00D97564"/>
    <w:rsid w:val="00DA0737"/>
    <w:rsid w:val="00DA0DDC"/>
    <w:rsid w:val="00DA121F"/>
    <w:rsid w:val="00DA2EDB"/>
    <w:rsid w:val="00DA437C"/>
    <w:rsid w:val="00DA4AD1"/>
    <w:rsid w:val="00DA686C"/>
    <w:rsid w:val="00DA731F"/>
    <w:rsid w:val="00DB157A"/>
    <w:rsid w:val="00DB389D"/>
    <w:rsid w:val="00DB3D60"/>
    <w:rsid w:val="00DB6AC9"/>
    <w:rsid w:val="00DC156A"/>
    <w:rsid w:val="00DC1C14"/>
    <w:rsid w:val="00DC2A59"/>
    <w:rsid w:val="00DC30E8"/>
    <w:rsid w:val="00DC32D1"/>
    <w:rsid w:val="00DC700E"/>
    <w:rsid w:val="00DD01CC"/>
    <w:rsid w:val="00DD1288"/>
    <w:rsid w:val="00DD5AA0"/>
    <w:rsid w:val="00DD5C0B"/>
    <w:rsid w:val="00DD5D34"/>
    <w:rsid w:val="00DD5DEB"/>
    <w:rsid w:val="00DD62A1"/>
    <w:rsid w:val="00DD6443"/>
    <w:rsid w:val="00DE0641"/>
    <w:rsid w:val="00DE1413"/>
    <w:rsid w:val="00DE161B"/>
    <w:rsid w:val="00DE2B4E"/>
    <w:rsid w:val="00DE2FCD"/>
    <w:rsid w:val="00DE3EB6"/>
    <w:rsid w:val="00DE4307"/>
    <w:rsid w:val="00DE53AE"/>
    <w:rsid w:val="00DE6D93"/>
    <w:rsid w:val="00DF1A25"/>
    <w:rsid w:val="00DF271B"/>
    <w:rsid w:val="00DF2A42"/>
    <w:rsid w:val="00DF2FC1"/>
    <w:rsid w:val="00DF4606"/>
    <w:rsid w:val="00DF48A6"/>
    <w:rsid w:val="00DF5328"/>
    <w:rsid w:val="00DF53AD"/>
    <w:rsid w:val="00DF5F16"/>
    <w:rsid w:val="00E013A5"/>
    <w:rsid w:val="00E016F3"/>
    <w:rsid w:val="00E032F8"/>
    <w:rsid w:val="00E03570"/>
    <w:rsid w:val="00E03D23"/>
    <w:rsid w:val="00E04489"/>
    <w:rsid w:val="00E045CB"/>
    <w:rsid w:val="00E046E1"/>
    <w:rsid w:val="00E04D51"/>
    <w:rsid w:val="00E062A6"/>
    <w:rsid w:val="00E0795E"/>
    <w:rsid w:val="00E07CDA"/>
    <w:rsid w:val="00E10036"/>
    <w:rsid w:val="00E113E5"/>
    <w:rsid w:val="00E12949"/>
    <w:rsid w:val="00E12E48"/>
    <w:rsid w:val="00E13CEE"/>
    <w:rsid w:val="00E13E4D"/>
    <w:rsid w:val="00E141F5"/>
    <w:rsid w:val="00E16A37"/>
    <w:rsid w:val="00E17381"/>
    <w:rsid w:val="00E2299F"/>
    <w:rsid w:val="00E2420D"/>
    <w:rsid w:val="00E25111"/>
    <w:rsid w:val="00E25DA7"/>
    <w:rsid w:val="00E2671B"/>
    <w:rsid w:val="00E26F24"/>
    <w:rsid w:val="00E31A44"/>
    <w:rsid w:val="00E31A5E"/>
    <w:rsid w:val="00E3359C"/>
    <w:rsid w:val="00E33EDF"/>
    <w:rsid w:val="00E33EFC"/>
    <w:rsid w:val="00E34C90"/>
    <w:rsid w:val="00E355A2"/>
    <w:rsid w:val="00E42AF8"/>
    <w:rsid w:val="00E44D3E"/>
    <w:rsid w:val="00E46465"/>
    <w:rsid w:val="00E4646A"/>
    <w:rsid w:val="00E46BF0"/>
    <w:rsid w:val="00E47058"/>
    <w:rsid w:val="00E50600"/>
    <w:rsid w:val="00E50D6B"/>
    <w:rsid w:val="00E5100F"/>
    <w:rsid w:val="00E5290C"/>
    <w:rsid w:val="00E541E5"/>
    <w:rsid w:val="00E5465A"/>
    <w:rsid w:val="00E554C3"/>
    <w:rsid w:val="00E554CC"/>
    <w:rsid w:val="00E55FF8"/>
    <w:rsid w:val="00E56AE6"/>
    <w:rsid w:val="00E57764"/>
    <w:rsid w:val="00E635D2"/>
    <w:rsid w:val="00E6397E"/>
    <w:rsid w:val="00E63D2A"/>
    <w:rsid w:val="00E66DFE"/>
    <w:rsid w:val="00E67426"/>
    <w:rsid w:val="00E67B25"/>
    <w:rsid w:val="00E67E0B"/>
    <w:rsid w:val="00E708F3"/>
    <w:rsid w:val="00E70AAE"/>
    <w:rsid w:val="00E7144F"/>
    <w:rsid w:val="00E718D0"/>
    <w:rsid w:val="00E71C97"/>
    <w:rsid w:val="00E71CC1"/>
    <w:rsid w:val="00E72BE0"/>
    <w:rsid w:val="00E74C81"/>
    <w:rsid w:val="00E7521E"/>
    <w:rsid w:val="00E76E6E"/>
    <w:rsid w:val="00E77955"/>
    <w:rsid w:val="00E77BE4"/>
    <w:rsid w:val="00E80CF0"/>
    <w:rsid w:val="00E81580"/>
    <w:rsid w:val="00E83244"/>
    <w:rsid w:val="00E83CD4"/>
    <w:rsid w:val="00E83E60"/>
    <w:rsid w:val="00E84E95"/>
    <w:rsid w:val="00E859E0"/>
    <w:rsid w:val="00E91EC0"/>
    <w:rsid w:val="00E9298B"/>
    <w:rsid w:val="00E92BDD"/>
    <w:rsid w:val="00E92D26"/>
    <w:rsid w:val="00E945E5"/>
    <w:rsid w:val="00E94B34"/>
    <w:rsid w:val="00E95801"/>
    <w:rsid w:val="00E958E6"/>
    <w:rsid w:val="00E95AC5"/>
    <w:rsid w:val="00E97DAA"/>
    <w:rsid w:val="00EA1040"/>
    <w:rsid w:val="00EA24F0"/>
    <w:rsid w:val="00EA2581"/>
    <w:rsid w:val="00EA2B5F"/>
    <w:rsid w:val="00EA33C5"/>
    <w:rsid w:val="00EA4C0D"/>
    <w:rsid w:val="00EA76A1"/>
    <w:rsid w:val="00EB2385"/>
    <w:rsid w:val="00EB2CAE"/>
    <w:rsid w:val="00EB2D6E"/>
    <w:rsid w:val="00EB3123"/>
    <w:rsid w:val="00EB3B25"/>
    <w:rsid w:val="00EB45B5"/>
    <w:rsid w:val="00EB7070"/>
    <w:rsid w:val="00EB7C8E"/>
    <w:rsid w:val="00EC149F"/>
    <w:rsid w:val="00EC26FB"/>
    <w:rsid w:val="00EC3591"/>
    <w:rsid w:val="00EC4171"/>
    <w:rsid w:val="00EC4B68"/>
    <w:rsid w:val="00EC6BA5"/>
    <w:rsid w:val="00ED011D"/>
    <w:rsid w:val="00ED23F0"/>
    <w:rsid w:val="00ED25C1"/>
    <w:rsid w:val="00ED2620"/>
    <w:rsid w:val="00ED2D94"/>
    <w:rsid w:val="00ED52A3"/>
    <w:rsid w:val="00ED71CA"/>
    <w:rsid w:val="00EE11C3"/>
    <w:rsid w:val="00EE143A"/>
    <w:rsid w:val="00EE1756"/>
    <w:rsid w:val="00EE6253"/>
    <w:rsid w:val="00EE793A"/>
    <w:rsid w:val="00EF00B5"/>
    <w:rsid w:val="00EF0B05"/>
    <w:rsid w:val="00EF11C7"/>
    <w:rsid w:val="00EF2162"/>
    <w:rsid w:val="00EF219D"/>
    <w:rsid w:val="00EF2247"/>
    <w:rsid w:val="00EF461F"/>
    <w:rsid w:val="00EF478C"/>
    <w:rsid w:val="00EF548E"/>
    <w:rsid w:val="00EF5D8B"/>
    <w:rsid w:val="00EF68B3"/>
    <w:rsid w:val="00EF7210"/>
    <w:rsid w:val="00EF76B5"/>
    <w:rsid w:val="00F004DE"/>
    <w:rsid w:val="00F008F0"/>
    <w:rsid w:val="00F01EB5"/>
    <w:rsid w:val="00F03DF8"/>
    <w:rsid w:val="00F03EE4"/>
    <w:rsid w:val="00F05BC4"/>
    <w:rsid w:val="00F07C1F"/>
    <w:rsid w:val="00F11AA9"/>
    <w:rsid w:val="00F11D10"/>
    <w:rsid w:val="00F1389F"/>
    <w:rsid w:val="00F14197"/>
    <w:rsid w:val="00F14963"/>
    <w:rsid w:val="00F202D7"/>
    <w:rsid w:val="00F2061A"/>
    <w:rsid w:val="00F21D18"/>
    <w:rsid w:val="00F23B1D"/>
    <w:rsid w:val="00F251B4"/>
    <w:rsid w:val="00F253B0"/>
    <w:rsid w:val="00F26369"/>
    <w:rsid w:val="00F263D2"/>
    <w:rsid w:val="00F27E66"/>
    <w:rsid w:val="00F318E3"/>
    <w:rsid w:val="00F3238F"/>
    <w:rsid w:val="00F32E4F"/>
    <w:rsid w:val="00F3659B"/>
    <w:rsid w:val="00F36633"/>
    <w:rsid w:val="00F368DC"/>
    <w:rsid w:val="00F36A21"/>
    <w:rsid w:val="00F37198"/>
    <w:rsid w:val="00F378BD"/>
    <w:rsid w:val="00F40165"/>
    <w:rsid w:val="00F40AB5"/>
    <w:rsid w:val="00F4153E"/>
    <w:rsid w:val="00F426F5"/>
    <w:rsid w:val="00F436E3"/>
    <w:rsid w:val="00F43C7B"/>
    <w:rsid w:val="00F45DAD"/>
    <w:rsid w:val="00F46C10"/>
    <w:rsid w:val="00F50F9D"/>
    <w:rsid w:val="00F51BAF"/>
    <w:rsid w:val="00F52188"/>
    <w:rsid w:val="00F5541A"/>
    <w:rsid w:val="00F557D7"/>
    <w:rsid w:val="00F55B55"/>
    <w:rsid w:val="00F55C29"/>
    <w:rsid w:val="00F56F0B"/>
    <w:rsid w:val="00F63EBC"/>
    <w:rsid w:val="00F666A4"/>
    <w:rsid w:val="00F71085"/>
    <w:rsid w:val="00F71739"/>
    <w:rsid w:val="00F71EAD"/>
    <w:rsid w:val="00F72117"/>
    <w:rsid w:val="00F732B4"/>
    <w:rsid w:val="00F76852"/>
    <w:rsid w:val="00F76918"/>
    <w:rsid w:val="00F77D50"/>
    <w:rsid w:val="00F80F13"/>
    <w:rsid w:val="00F82E7C"/>
    <w:rsid w:val="00F83BE7"/>
    <w:rsid w:val="00F83CDF"/>
    <w:rsid w:val="00F84804"/>
    <w:rsid w:val="00F84FFA"/>
    <w:rsid w:val="00F86B23"/>
    <w:rsid w:val="00F86BD9"/>
    <w:rsid w:val="00F8729A"/>
    <w:rsid w:val="00F8777A"/>
    <w:rsid w:val="00F87A71"/>
    <w:rsid w:val="00F90C26"/>
    <w:rsid w:val="00F92F93"/>
    <w:rsid w:val="00F9329A"/>
    <w:rsid w:val="00F93C6E"/>
    <w:rsid w:val="00F94E54"/>
    <w:rsid w:val="00F94EB2"/>
    <w:rsid w:val="00F95541"/>
    <w:rsid w:val="00F96A31"/>
    <w:rsid w:val="00FA064D"/>
    <w:rsid w:val="00FA368D"/>
    <w:rsid w:val="00FA4845"/>
    <w:rsid w:val="00FA4889"/>
    <w:rsid w:val="00FA550C"/>
    <w:rsid w:val="00FA75FD"/>
    <w:rsid w:val="00FA7B56"/>
    <w:rsid w:val="00FB00DD"/>
    <w:rsid w:val="00FB0A70"/>
    <w:rsid w:val="00FB6497"/>
    <w:rsid w:val="00FB79F6"/>
    <w:rsid w:val="00FC1236"/>
    <w:rsid w:val="00FC376B"/>
    <w:rsid w:val="00FC4875"/>
    <w:rsid w:val="00FC7749"/>
    <w:rsid w:val="00FD0673"/>
    <w:rsid w:val="00FD0AFF"/>
    <w:rsid w:val="00FD183B"/>
    <w:rsid w:val="00FD1EC0"/>
    <w:rsid w:val="00FD22DD"/>
    <w:rsid w:val="00FD29C1"/>
    <w:rsid w:val="00FD2ACC"/>
    <w:rsid w:val="00FD2E6E"/>
    <w:rsid w:val="00FD3E9E"/>
    <w:rsid w:val="00FD489E"/>
    <w:rsid w:val="00FD79E3"/>
    <w:rsid w:val="00FD7F59"/>
    <w:rsid w:val="00FE1445"/>
    <w:rsid w:val="00FE27AE"/>
    <w:rsid w:val="00FE28E9"/>
    <w:rsid w:val="00FE3466"/>
    <w:rsid w:val="00FE39DB"/>
    <w:rsid w:val="00FE3CEF"/>
    <w:rsid w:val="00FE40BF"/>
    <w:rsid w:val="00FE44DF"/>
    <w:rsid w:val="00FE4B0F"/>
    <w:rsid w:val="00FE4F6A"/>
    <w:rsid w:val="00FE5353"/>
    <w:rsid w:val="00FE5E02"/>
    <w:rsid w:val="00FE7048"/>
    <w:rsid w:val="00FE75B3"/>
    <w:rsid w:val="00FE7C3D"/>
    <w:rsid w:val="00FF3071"/>
    <w:rsid w:val="00FF3644"/>
    <w:rsid w:val="00FF4168"/>
    <w:rsid w:val="00FF445F"/>
    <w:rsid w:val="00FF4D73"/>
    <w:rsid w:val="00FF51C9"/>
    <w:rsid w:val="00FF545E"/>
    <w:rsid w:val="00FF5933"/>
    <w:rsid w:val="00FF7BF7"/>
    <w:rsid w:val="00FF7C46"/>
  </w:rsids>
  <m:mathPr>
    <m:mathFont m:val="Cambria Math"/>
    <m:brkBin m:val="before"/>
    <m:brkBinSub m:val="--"/>
    <m:smallFrac m:val="0"/>
    <m:dispDef/>
    <m:lMargin m:val="0"/>
    <m:rMargin m:val="0"/>
    <m:defJc m:val="centerGroup"/>
    <m:wrapIndent m:val="1440"/>
    <m:intLim m:val="subSup"/>
    <m:naryLim m:val="undOvr"/>
  </m:mathPr>
  <w:themeFontLang w:val="en-029"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87F05"/>
  <w15:docId w15:val="{A76F2B0F-ADAE-4391-A8E1-7FC59F52C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029"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6F6"/>
    <w:rPr>
      <w:rFonts w:ascii="Times New Roman" w:hAnsi="Times New Roman"/>
      <w:sz w:val="16"/>
    </w:rPr>
  </w:style>
  <w:style w:type="paragraph" w:styleId="Heading1">
    <w:name w:val="heading 1"/>
    <w:basedOn w:val="Normal"/>
    <w:next w:val="Normal"/>
    <w:link w:val="Heading1Char"/>
    <w:uiPriority w:val="9"/>
    <w:qFormat/>
    <w:rsid w:val="00796524"/>
    <w:pPr>
      <w:keepNext/>
      <w:keepLines/>
      <w:spacing w:before="400" w:after="40" w:line="240" w:lineRule="auto"/>
      <w:jc w:val="center"/>
      <w:outlineLvl w:val="0"/>
    </w:pPr>
    <w:rPr>
      <w:rFonts w:eastAsiaTheme="majorEastAsia" w:cstheme="majorBidi"/>
      <w:b/>
      <w:sz w:val="28"/>
      <w:szCs w:val="36"/>
    </w:rPr>
  </w:style>
  <w:style w:type="paragraph" w:styleId="Heading2">
    <w:name w:val="heading 2"/>
    <w:basedOn w:val="Normal"/>
    <w:next w:val="Normal"/>
    <w:link w:val="Heading2Char"/>
    <w:uiPriority w:val="9"/>
    <w:unhideWhenUsed/>
    <w:qFormat/>
    <w:rsid w:val="00265530"/>
    <w:pPr>
      <w:keepNext/>
      <w:keepLines/>
      <w:spacing w:before="40" w:after="0" w:line="240" w:lineRule="auto"/>
      <w:jc w:val="both"/>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04175D"/>
    <w:pPr>
      <w:keepNext/>
      <w:keepLines/>
      <w:spacing w:before="40" w:after="0" w:line="240" w:lineRule="auto"/>
      <w:outlineLvl w:val="2"/>
    </w:pPr>
    <w:rPr>
      <w:rFonts w:asciiTheme="majorHAnsi" w:eastAsiaTheme="majorEastAsia" w:hAnsiTheme="majorHAnsi" w:cstheme="majorBidi"/>
      <w:color w:val="365F91" w:themeColor="accent1" w:themeShade="BF"/>
      <w:sz w:val="24"/>
      <w:szCs w:val="28"/>
    </w:rPr>
  </w:style>
  <w:style w:type="paragraph" w:styleId="Heading4">
    <w:name w:val="heading 4"/>
    <w:basedOn w:val="Normal"/>
    <w:next w:val="Normal"/>
    <w:link w:val="Heading4Char"/>
    <w:uiPriority w:val="9"/>
    <w:unhideWhenUsed/>
    <w:qFormat/>
    <w:rsid w:val="00E13CEE"/>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unhideWhenUsed/>
    <w:qFormat/>
    <w:rsid w:val="00E13CEE"/>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E13CEE"/>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E13CEE"/>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E13CEE"/>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E13CEE"/>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3A09"/>
    <w:pPr>
      <w:ind w:left="720"/>
      <w:contextualSpacing/>
    </w:pPr>
  </w:style>
  <w:style w:type="paragraph" w:styleId="NoSpacing">
    <w:name w:val="No Spacing"/>
    <w:link w:val="NoSpacingChar"/>
    <w:uiPriority w:val="1"/>
    <w:qFormat/>
    <w:rsid w:val="00E13CEE"/>
    <w:pPr>
      <w:spacing w:after="0" w:line="240" w:lineRule="auto"/>
    </w:pPr>
  </w:style>
  <w:style w:type="paragraph" w:styleId="Header">
    <w:name w:val="header"/>
    <w:basedOn w:val="Normal"/>
    <w:link w:val="HeaderChar"/>
    <w:uiPriority w:val="99"/>
    <w:unhideWhenUsed/>
    <w:rsid w:val="001A11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2CA0"/>
  </w:style>
  <w:style w:type="paragraph" w:styleId="Footer">
    <w:name w:val="footer"/>
    <w:basedOn w:val="Normal"/>
    <w:link w:val="FooterChar"/>
    <w:uiPriority w:val="99"/>
    <w:unhideWhenUsed/>
    <w:rsid w:val="001A11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2CA0"/>
  </w:style>
  <w:style w:type="paragraph" w:styleId="FootnoteText">
    <w:name w:val="footnote text"/>
    <w:basedOn w:val="Normal"/>
    <w:link w:val="FootnoteTextChar"/>
    <w:uiPriority w:val="99"/>
    <w:semiHidden/>
    <w:unhideWhenUsed/>
    <w:rsid w:val="00AC06BA"/>
    <w:pPr>
      <w:spacing w:after="0" w:line="240" w:lineRule="auto"/>
    </w:pPr>
    <w:rPr>
      <w:szCs w:val="20"/>
    </w:rPr>
  </w:style>
  <w:style w:type="character" w:customStyle="1" w:styleId="FootnoteTextChar">
    <w:name w:val="Footnote Text Char"/>
    <w:basedOn w:val="DefaultParagraphFont"/>
    <w:link w:val="FootnoteText"/>
    <w:uiPriority w:val="99"/>
    <w:semiHidden/>
    <w:rsid w:val="00AC06BA"/>
    <w:rPr>
      <w:sz w:val="20"/>
      <w:szCs w:val="20"/>
    </w:rPr>
  </w:style>
  <w:style w:type="character" w:styleId="FootnoteReference">
    <w:name w:val="footnote reference"/>
    <w:basedOn w:val="DefaultParagraphFont"/>
    <w:uiPriority w:val="99"/>
    <w:semiHidden/>
    <w:unhideWhenUsed/>
    <w:rsid w:val="00AC06BA"/>
    <w:rPr>
      <w:vertAlign w:val="superscript"/>
    </w:rPr>
  </w:style>
  <w:style w:type="paragraph" w:styleId="EndnoteText">
    <w:name w:val="endnote text"/>
    <w:basedOn w:val="Normal"/>
    <w:link w:val="EndnoteTextChar"/>
    <w:uiPriority w:val="99"/>
    <w:semiHidden/>
    <w:unhideWhenUsed/>
    <w:rsid w:val="00AC06BA"/>
    <w:pPr>
      <w:spacing w:after="0" w:line="240" w:lineRule="auto"/>
    </w:pPr>
    <w:rPr>
      <w:szCs w:val="20"/>
    </w:rPr>
  </w:style>
  <w:style w:type="character" w:customStyle="1" w:styleId="EndnoteTextChar">
    <w:name w:val="Endnote Text Char"/>
    <w:basedOn w:val="DefaultParagraphFont"/>
    <w:link w:val="EndnoteText"/>
    <w:uiPriority w:val="99"/>
    <w:semiHidden/>
    <w:rsid w:val="00AC06BA"/>
    <w:rPr>
      <w:sz w:val="20"/>
      <w:szCs w:val="20"/>
    </w:rPr>
  </w:style>
  <w:style w:type="character" w:styleId="EndnoteReference">
    <w:name w:val="endnote reference"/>
    <w:basedOn w:val="DefaultParagraphFont"/>
    <w:uiPriority w:val="99"/>
    <w:semiHidden/>
    <w:unhideWhenUsed/>
    <w:rsid w:val="00AC06BA"/>
    <w:rPr>
      <w:vertAlign w:val="superscript"/>
    </w:rPr>
  </w:style>
  <w:style w:type="character" w:styleId="CommentReference">
    <w:name w:val="annotation reference"/>
    <w:basedOn w:val="DefaultParagraphFont"/>
    <w:uiPriority w:val="99"/>
    <w:semiHidden/>
    <w:unhideWhenUsed/>
    <w:rsid w:val="00AC06BA"/>
    <w:rPr>
      <w:sz w:val="16"/>
      <w:szCs w:val="16"/>
    </w:rPr>
  </w:style>
  <w:style w:type="paragraph" w:styleId="CommentText">
    <w:name w:val="annotation text"/>
    <w:basedOn w:val="Normal"/>
    <w:link w:val="CommentTextChar"/>
    <w:uiPriority w:val="99"/>
    <w:semiHidden/>
    <w:unhideWhenUsed/>
    <w:rsid w:val="00AC06BA"/>
    <w:pPr>
      <w:spacing w:line="240" w:lineRule="auto"/>
    </w:pPr>
    <w:rPr>
      <w:szCs w:val="20"/>
    </w:rPr>
  </w:style>
  <w:style w:type="character" w:customStyle="1" w:styleId="CommentTextChar">
    <w:name w:val="Comment Text Char"/>
    <w:basedOn w:val="DefaultParagraphFont"/>
    <w:link w:val="CommentText"/>
    <w:uiPriority w:val="99"/>
    <w:semiHidden/>
    <w:rsid w:val="00AC06BA"/>
    <w:rPr>
      <w:sz w:val="20"/>
      <w:szCs w:val="20"/>
    </w:rPr>
  </w:style>
  <w:style w:type="paragraph" w:styleId="CommentSubject">
    <w:name w:val="annotation subject"/>
    <w:basedOn w:val="CommentText"/>
    <w:next w:val="CommentText"/>
    <w:link w:val="CommentSubjectChar"/>
    <w:uiPriority w:val="99"/>
    <w:semiHidden/>
    <w:unhideWhenUsed/>
    <w:rsid w:val="00AC06BA"/>
    <w:rPr>
      <w:b/>
      <w:bCs/>
    </w:rPr>
  </w:style>
  <w:style w:type="character" w:customStyle="1" w:styleId="CommentSubjectChar">
    <w:name w:val="Comment Subject Char"/>
    <w:basedOn w:val="CommentTextChar"/>
    <w:link w:val="CommentSubject"/>
    <w:uiPriority w:val="99"/>
    <w:semiHidden/>
    <w:rsid w:val="00AC06BA"/>
    <w:rPr>
      <w:b/>
      <w:bCs/>
      <w:sz w:val="20"/>
      <w:szCs w:val="20"/>
    </w:rPr>
  </w:style>
  <w:style w:type="paragraph" w:styleId="BalloonText">
    <w:name w:val="Balloon Text"/>
    <w:basedOn w:val="Normal"/>
    <w:link w:val="BalloonTextChar"/>
    <w:uiPriority w:val="99"/>
    <w:semiHidden/>
    <w:unhideWhenUsed/>
    <w:rsid w:val="00AC06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06BA"/>
    <w:rPr>
      <w:rFonts w:ascii="Segoe UI" w:hAnsi="Segoe UI" w:cs="Segoe UI"/>
      <w:sz w:val="18"/>
      <w:szCs w:val="18"/>
    </w:rPr>
  </w:style>
  <w:style w:type="character" w:customStyle="1" w:styleId="Heading1Char">
    <w:name w:val="Heading 1 Char"/>
    <w:basedOn w:val="DefaultParagraphFont"/>
    <w:link w:val="Heading1"/>
    <w:uiPriority w:val="9"/>
    <w:rsid w:val="00796524"/>
    <w:rPr>
      <w:rFonts w:ascii="Times New Roman" w:eastAsiaTheme="majorEastAsia" w:hAnsi="Times New Roman" w:cstheme="majorBidi"/>
      <w:b/>
      <w:sz w:val="28"/>
      <w:szCs w:val="36"/>
    </w:rPr>
  </w:style>
  <w:style w:type="paragraph" w:styleId="TOCHeading">
    <w:name w:val="TOC Heading"/>
    <w:basedOn w:val="Heading1"/>
    <w:next w:val="Normal"/>
    <w:uiPriority w:val="39"/>
    <w:unhideWhenUsed/>
    <w:qFormat/>
    <w:rsid w:val="001A1178"/>
    <w:pPr>
      <w:outlineLvl w:val="9"/>
    </w:pPr>
  </w:style>
  <w:style w:type="character" w:customStyle="1" w:styleId="Heading2Char">
    <w:name w:val="Heading 2 Char"/>
    <w:basedOn w:val="DefaultParagraphFont"/>
    <w:link w:val="Heading2"/>
    <w:uiPriority w:val="9"/>
    <w:rsid w:val="00265530"/>
    <w:rPr>
      <w:rFonts w:ascii="Bookman Old Style" w:eastAsiaTheme="majorEastAsia" w:hAnsi="Bookman Old Style" w:cstheme="majorBidi"/>
      <w:b/>
      <w:sz w:val="20"/>
      <w:szCs w:val="32"/>
    </w:rPr>
  </w:style>
  <w:style w:type="character" w:customStyle="1" w:styleId="Heading3Char">
    <w:name w:val="Heading 3 Char"/>
    <w:basedOn w:val="DefaultParagraphFont"/>
    <w:link w:val="Heading3"/>
    <w:uiPriority w:val="9"/>
    <w:rsid w:val="0004175D"/>
    <w:rPr>
      <w:rFonts w:asciiTheme="majorHAnsi" w:eastAsiaTheme="majorEastAsia" w:hAnsiTheme="majorHAnsi" w:cstheme="majorBidi"/>
      <w:color w:val="365F91" w:themeColor="accent1" w:themeShade="BF"/>
      <w:sz w:val="24"/>
      <w:szCs w:val="28"/>
    </w:rPr>
  </w:style>
  <w:style w:type="character" w:customStyle="1" w:styleId="Heading4Char">
    <w:name w:val="Heading 4 Char"/>
    <w:basedOn w:val="DefaultParagraphFont"/>
    <w:link w:val="Heading4"/>
    <w:uiPriority w:val="9"/>
    <w:rsid w:val="00E13CEE"/>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rsid w:val="00E13CEE"/>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E13CEE"/>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E13CEE"/>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E13CEE"/>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E13CEE"/>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unhideWhenUsed/>
    <w:qFormat/>
    <w:rsid w:val="00E13CEE"/>
    <w:pPr>
      <w:spacing w:line="240" w:lineRule="auto"/>
    </w:pPr>
    <w:rPr>
      <w:b/>
      <w:bCs/>
      <w:smallCaps/>
      <w:color w:val="1F497D" w:themeColor="text2"/>
    </w:rPr>
  </w:style>
  <w:style w:type="paragraph" w:styleId="Title">
    <w:name w:val="Title"/>
    <w:basedOn w:val="Normal"/>
    <w:next w:val="Normal"/>
    <w:link w:val="TitleChar"/>
    <w:uiPriority w:val="10"/>
    <w:qFormat/>
    <w:rsid w:val="00E13CEE"/>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E13CEE"/>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E13CEE"/>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E13CEE"/>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E13CEE"/>
    <w:rPr>
      <w:b/>
      <w:bCs/>
    </w:rPr>
  </w:style>
  <w:style w:type="character" w:styleId="Emphasis">
    <w:name w:val="Emphasis"/>
    <w:basedOn w:val="DefaultParagraphFont"/>
    <w:uiPriority w:val="20"/>
    <w:qFormat/>
    <w:rsid w:val="00E13CEE"/>
    <w:rPr>
      <w:i/>
      <w:iCs/>
    </w:rPr>
  </w:style>
  <w:style w:type="paragraph" w:styleId="Quote">
    <w:name w:val="Quote"/>
    <w:basedOn w:val="Normal"/>
    <w:next w:val="Normal"/>
    <w:link w:val="QuoteChar"/>
    <w:uiPriority w:val="29"/>
    <w:qFormat/>
    <w:rsid w:val="00E13CEE"/>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E13CEE"/>
    <w:rPr>
      <w:color w:val="1F497D" w:themeColor="text2"/>
      <w:sz w:val="24"/>
      <w:szCs w:val="24"/>
    </w:rPr>
  </w:style>
  <w:style w:type="paragraph" w:styleId="IntenseQuote">
    <w:name w:val="Intense Quote"/>
    <w:basedOn w:val="Normal"/>
    <w:next w:val="Normal"/>
    <w:link w:val="IntenseQuoteChar"/>
    <w:uiPriority w:val="30"/>
    <w:qFormat/>
    <w:rsid w:val="00E13CEE"/>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E13CEE"/>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E13CEE"/>
    <w:rPr>
      <w:i/>
      <w:iCs/>
      <w:color w:val="595959" w:themeColor="text1" w:themeTint="A6"/>
    </w:rPr>
  </w:style>
  <w:style w:type="character" w:styleId="IntenseEmphasis">
    <w:name w:val="Intense Emphasis"/>
    <w:basedOn w:val="DefaultParagraphFont"/>
    <w:uiPriority w:val="21"/>
    <w:qFormat/>
    <w:rsid w:val="00E13CEE"/>
    <w:rPr>
      <w:b/>
      <w:bCs/>
      <w:i/>
      <w:iCs/>
    </w:rPr>
  </w:style>
  <w:style w:type="character" w:styleId="SubtleReference">
    <w:name w:val="Subtle Reference"/>
    <w:basedOn w:val="DefaultParagraphFont"/>
    <w:uiPriority w:val="31"/>
    <w:qFormat/>
    <w:rsid w:val="00E13CEE"/>
    <w:rPr>
      <w:smallCaps/>
      <w:color w:val="595959" w:themeColor="text1" w:themeTint="A6"/>
      <w:u w:val="none" w:color="7F7F7F"/>
      <w:bdr w:val="none" w:sz="0" w:space="0" w:color="auto"/>
    </w:rPr>
  </w:style>
  <w:style w:type="character" w:styleId="IntenseReference">
    <w:name w:val="Intense Reference"/>
    <w:basedOn w:val="DefaultParagraphFont"/>
    <w:uiPriority w:val="32"/>
    <w:qFormat/>
    <w:rsid w:val="00E13CEE"/>
    <w:rPr>
      <w:b/>
      <w:bCs/>
      <w:smallCaps/>
      <w:color w:val="1F497D" w:themeColor="text2"/>
      <w:u w:val="single"/>
    </w:rPr>
  </w:style>
  <w:style w:type="character" w:styleId="BookTitle">
    <w:name w:val="Book Title"/>
    <w:basedOn w:val="DefaultParagraphFont"/>
    <w:uiPriority w:val="33"/>
    <w:qFormat/>
    <w:rsid w:val="00E13CEE"/>
    <w:rPr>
      <w:b/>
      <w:bCs/>
      <w:smallCaps/>
      <w:spacing w:val="10"/>
    </w:rPr>
  </w:style>
  <w:style w:type="paragraph" w:styleId="TOC1">
    <w:name w:val="toc 1"/>
    <w:basedOn w:val="Normal"/>
    <w:next w:val="Normal"/>
    <w:autoRedefine/>
    <w:uiPriority w:val="39"/>
    <w:unhideWhenUsed/>
    <w:rsid w:val="00E0795E"/>
    <w:pPr>
      <w:tabs>
        <w:tab w:val="right" w:leader="dot" w:pos="9350"/>
      </w:tabs>
      <w:spacing w:after="100" w:line="240" w:lineRule="auto"/>
    </w:pPr>
  </w:style>
  <w:style w:type="character" w:styleId="Hyperlink">
    <w:name w:val="Hyperlink"/>
    <w:basedOn w:val="DefaultParagraphFont"/>
    <w:uiPriority w:val="99"/>
    <w:unhideWhenUsed/>
    <w:rsid w:val="004D4462"/>
    <w:rPr>
      <w:color w:val="0000FF" w:themeColor="hyperlink"/>
      <w:u w:val="single"/>
    </w:rPr>
  </w:style>
  <w:style w:type="paragraph" w:styleId="TOC2">
    <w:name w:val="toc 2"/>
    <w:basedOn w:val="Normal"/>
    <w:next w:val="Normal"/>
    <w:autoRedefine/>
    <w:uiPriority w:val="39"/>
    <w:unhideWhenUsed/>
    <w:rsid w:val="009E4B19"/>
    <w:pPr>
      <w:tabs>
        <w:tab w:val="right" w:leader="dot" w:pos="10790"/>
      </w:tabs>
      <w:spacing w:after="100"/>
      <w:ind w:left="220"/>
      <w:jc w:val="right"/>
    </w:pPr>
  </w:style>
  <w:style w:type="character" w:customStyle="1" w:styleId="ilfuvd">
    <w:name w:val="ilfuvd"/>
    <w:basedOn w:val="DefaultParagraphFont"/>
    <w:rsid w:val="007A7AAD"/>
  </w:style>
  <w:style w:type="paragraph" w:styleId="TOC3">
    <w:name w:val="toc 3"/>
    <w:basedOn w:val="Normal"/>
    <w:next w:val="Normal"/>
    <w:autoRedefine/>
    <w:uiPriority w:val="39"/>
    <w:unhideWhenUsed/>
    <w:rsid w:val="001A1178"/>
    <w:pPr>
      <w:spacing w:after="100"/>
      <w:ind w:left="440"/>
    </w:pPr>
  </w:style>
  <w:style w:type="character" w:styleId="FollowedHyperlink">
    <w:name w:val="FollowedHyperlink"/>
    <w:basedOn w:val="DefaultParagraphFont"/>
    <w:uiPriority w:val="99"/>
    <w:semiHidden/>
    <w:unhideWhenUsed/>
    <w:rsid w:val="00FA4845"/>
    <w:rPr>
      <w:color w:val="800080" w:themeColor="followedHyperlink"/>
      <w:u w:val="single"/>
    </w:rPr>
  </w:style>
  <w:style w:type="character" w:customStyle="1" w:styleId="NoSpacingChar">
    <w:name w:val="No Spacing Char"/>
    <w:basedOn w:val="DefaultParagraphFont"/>
    <w:link w:val="NoSpacing"/>
    <w:uiPriority w:val="1"/>
    <w:rsid w:val="0017682F"/>
  </w:style>
  <w:style w:type="paragraph" w:customStyle="1" w:styleId="Default">
    <w:name w:val="Default"/>
    <w:rsid w:val="004B3EDA"/>
    <w:pPr>
      <w:autoSpaceDE w:val="0"/>
      <w:autoSpaceDN w:val="0"/>
      <w:adjustRightInd w:val="0"/>
      <w:spacing w:after="0" w:line="240" w:lineRule="auto"/>
    </w:pPr>
    <w:rPr>
      <w:rFonts w:ascii="Arial" w:hAnsi="Arial" w:cs="Arial"/>
      <w:color w:val="000000"/>
      <w:sz w:val="24"/>
      <w:szCs w:val="24"/>
      <w:lang w:val="en-US"/>
    </w:rPr>
  </w:style>
  <w:style w:type="paragraph" w:styleId="BodyText">
    <w:name w:val="Body Text"/>
    <w:basedOn w:val="Normal"/>
    <w:link w:val="BodyTextChar"/>
    <w:uiPriority w:val="99"/>
    <w:unhideWhenUsed/>
    <w:rsid w:val="006B606D"/>
    <w:pPr>
      <w:spacing w:after="120"/>
    </w:pPr>
  </w:style>
  <w:style w:type="character" w:customStyle="1" w:styleId="BodyTextChar">
    <w:name w:val="Body Text Char"/>
    <w:basedOn w:val="DefaultParagraphFont"/>
    <w:link w:val="BodyText"/>
    <w:uiPriority w:val="99"/>
    <w:rsid w:val="006B606D"/>
  </w:style>
  <w:style w:type="table" w:styleId="PlainTable1">
    <w:name w:val="Plain Table 1"/>
    <w:basedOn w:val="TableNormal"/>
    <w:uiPriority w:val="41"/>
    <w:rsid w:val="008F5CDA"/>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1">
    <w:name w:val="Grid Table 5 Dark Accent 1"/>
    <w:basedOn w:val="TableNormal"/>
    <w:uiPriority w:val="50"/>
    <w:rsid w:val="00DF2A4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5Dark-Accent11">
    <w:name w:val="Grid Table 5 Dark - Accent 11"/>
    <w:basedOn w:val="TableNormal"/>
    <w:next w:val="GridTable5Dark-Accent1"/>
    <w:uiPriority w:val="50"/>
    <w:rsid w:val="00996869"/>
    <w:pPr>
      <w:spacing w:after="0" w:line="240" w:lineRule="auto"/>
    </w:pPr>
    <w:rPr>
      <w:rFonts w:eastAsia="SimSu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paragraph" w:customStyle="1" w:styleId="Style1">
    <w:name w:val="Style1"/>
    <w:basedOn w:val="Normal"/>
    <w:next w:val="Heading5"/>
    <w:link w:val="Style1Char"/>
    <w:qFormat/>
    <w:rsid w:val="00330912"/>
    <w:pPr>
      <w:spacing w:line="360" w:lineRule="auto"/>
      <w:jc w:val="both"/>
    </w:pPr>
    <w:rPr>
      <w:noProof/>
      <w:lang w:eastAsia="en-029"/>
    </w:rPr>
  </w:style>
  <w:style w:type="paragraph" w:styleId="TableofFigures">
    <w:name w:val="table of figures"/>
    <w:basedOn w:val="Normal"/>
    <w:next w:val="Normal"/>
    <w:uiPriority w:val="99"/>
    <w:unhideWhenUsed/>
    <w:rsid w:val="00C0068D"/>
    <w:pPr>
      <w:spacing w:after="0"/>
    </w:pPr>
  </w:style>
  <w:style w:type="character" w:customStyle="1" w:styleId="Style1Char">
    <w:name w:val="Style1 Char"/>
    <w:basedOn w:val="DefaultParagraphFont"/>
    <w:link w:val="Style1"/>
    <w:rsid w:val="00330912"/>
    <w:rPr>
      <w:rFonts w:ascii="Bookman Old Style" w:hAnsi="Bookman Old Style"/>
      <w:noProof/>
      <w:sz w:val="20"/>
      <w:lang w:eastAsia="en-029"/>
    </w:rPr>
  </w:style>
  <w:style w:type="paragraph" w:styleId="NormalWeb">
    <w:name w:val="Normal (Web)"/>
    <w:basedOn w:val="Normal"/>
    <w:uiPriority w:val="99"/>
    <w:semiHidden/>
    <w:unhideWhenUsed/>
    <w:rsid w:val="00FF445F"/>
    <w:pPr>
      <w:spacing w:before="100" w:beforeAutospacing="1" w:after="100" w:afterAutospacing="1" w:line="240" w:lineRule="auto"/>
    </w:pPr>
    <w:rPr>
      <w:rFonts w:eastAsia="Times New Roman" w:cs="Times New Roman"/>
      <w:sz w:val="24"/>
      <w:szCs w:val="24"/>
      <w:lang w:eastAsia="en-029"/>
    </w:rPr>
  </w:style>
  <w:style w:type="table" w:styleId="TableGrid">
    <w:name w:val="Table Grid"/>
    <w:basedOn w:val="TableNormal"/>
    <w:uiPriority w:val="39"/>
    <w:rsid w:val="00687D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2-Accent1">
    <w:name w:val="Grid Table 2 Accent 1"/>
    <w:basedOn w:val="TableNormal"/>
    <w:uiPriority w:val="47"/>
    <w:rsid w:val="00687DA4"/>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1Light-Accent1">
    <w:name w:val="Grid Table 1 Light Accent 1"/>
    <w:basedOn w:val="TableNormal"/>
    <w:uiPriority w:val="46"/>
    <w:rsid w:val="00687DA4"/>
    <w:pPr>
      <w:spacing w:after="0" w:line="240" w:lineRule="auto"/>
    </w:p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F23B1D"/>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chart" Target="charts/chart15.xml"/><Relationship Id="rId39" Type="http://schemas.openxmlformats.org/officeDocument/2006/relationships/chart" Target="charts/chart27.xml"/><Relationship Id="rId3" Type="http://schemas.openxmlformats.org/officeDocument/2006/relationships/customXml" Target="../customXml/item3.xml"/><Relationship Id="rId21" Type="http://schemas.openxmlformats.org/officeDocument/2006/relationships/chart" Target="charts/chart10.xml"/><Relationship Id="rId34" Type="http://schemas.openxmlformats.org/officeDocument/2006/relationships/chart" Target="charts/chart23.xml"/><Relationship Id="rId42" Type="http://schemas.openxmlformats.org/officeDocument/2006/relationships/theme" Target="theme/theme1.xml"/><Relationship Id="rId7"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chart" Target="charts/chart14.xml"/><Relationship Id="rId33" Type="http://schemas.openxmlformats.org/officeDocument/2006/relationships/chart" Target="charts/chart22.xml"/><Relationship Id="rId38" Type="http://schemas.openxmlformats.org/officeDocument/2006/relationships/chart" Target="charts/chart26.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chart" Target="charts/chart18.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hart" Target="charts/chart13.xml"/><Relationship Id="rId32" Type="http://schemas.openxmlformats.org/officeDocument/2006/relationships/chart" Target="charts/chart21.xml"/><Relationship Id="rId37" Type="http://schemas.openxmlformats.org/officeDocument/2006/relationships/chart" Target="charts/chart25.xml"/><Relationship Id="rId40" Type="http://schemas.openxmlformats.org/officeDocument/2006/relationships/chart" Target="charts/chart28.xml"/><Relationship Id="rId5" Type="http://schemas.openxmlformats.org/officeDocument/2006/relationships/customXml" Target="../customXml/item5.xml"/><Relationship Id="rId15" Type="http://schemas.openxmlformats.org/officeDocument/2006/relationships/chart" Target="charts/chart4.xml"/><Relationship Id="rId23" Type="http://schemas.openxmlformats.org/officeDocument/2006/relationships/chart" Target="charts/chart12.xml"/><Relationship Id="rId28" Type="http://schemas.openxmlformats.org/officeDocument/2006/relationships/chart" Target="charts/chart17.xml"/><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chart" Target="charts/chart8.xml"/><Relationship Id="rId31" Type="http://schemas.openxmlformats.org/officeDocument/2006/relationships/chart" Target="charts/chart20.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chart" Target="charts/chart16.xml"/><Relationship Id="rId30" Type="http://schemas.openxmlformats.org/officeDocument/2006/relationships/chart" Target="charts/chart19.xml"/><Relationship Id="rId35" Type="http://schemas.openxmlformats.org/officeDocument/2006/relationships/chart" Target="charts/chart24.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3.bin"/></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embeddings/oleObject4.bin"/></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5.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embeddings/oleObject6.bin"/></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embeddings/oleObject7.bin"/></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embeddings/oleObject8.bin"/></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embeddings/oleObject9.bin"/></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embeddings/oleObject10.bin"/></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embeddings/oleObject11.bin"/></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embeddings/oleObject12.bin"/></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embeddings/oleObject13.bin"/></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oleObject" Target="../embeddings/oleObject14.bin"/></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oleObject" Target="../embeddings/oleObject15.bin"/></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oleObject" Target="../embeddings/oleObject16.bin"/></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oleObject" Target="../embeddings/oleObject17.bin"/></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oleObject" Target="../embeddings/oleObject18.bin"/></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oleObject" Target="../embeddings/oleObject19.bin"/></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oleObject" Target="../embeddings/oleObject20.bin"/></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21.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oleObject" Target="../embeddings/oleObject21.bin"/></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22.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oleObject" Target="../embeddings/oleObject22.bin"/></Relationships>
</file>

<file path=word/charts/_rels/chart23.xml.rels><?xml version="1.0" encoding="UTF-8" standalone="yes"?>
<Relationships xmlns="http://schemas.openxmlformats.org/package/2006/relationships"><Relationship Id="rId3" Type="http://schemas.openxmlformats.org/officeDocument/2006/relationships/themeOverride" Target="../theme/themeOverride23.xml"/><Relationship Id="rId2" Type="http://schemas.microsoft.com/office/2011/relationships/chartColorStyle" Target="colors23.xml"/><Relationship Id="rId1" Type="http://schemas.microsoft.com/office/2011/relationships/chartStyle" Target="style23.xml"/><Relationship Id="rId4" Type="http://schemas.openxmlformats.org/officeDocument/2006/relationships/oleObject" Target="../embeddings/oleObject23.bin"/></Relationships>
</file>

<file path=word/charts/_rels/chart24.xml.rels><?xml version="1.0" encoding="UTF-8" standalone="yes"?>
<Relationships xmlns="http://schemas.openxmlformats.org/package/2006/relationships"><Relationship Id="rId3" Type="http://schemas.openxmlformats.org/officeDocument/2006/relationships/themeOverride" Target="../theme/themeOverride24.xml"/><Relationship Id="rId2" Type="http://schemas.microsoft.com/office/2011/relationships/chartColorStyle" Target="colors24.xml"/><Relationship Id="rId1" Type="http://schemas.microsoft.com/office/2011/relationships/chartStyle" Target="style24.xml"/><Relationship Id="rId4" Type="http://schemas.openxmlformats.org/officeDocument/2006/relationships/oleObject" Target="../embeddings/oleObject24.bin"/></Relationships>
</file>

<file path=word/charts/_rels/chart25.xml.rels><?xml version="1.0" encoding="UTF-8" standalone="yes"?>
<Relationships xmlns="http://schemas.openxmlformats.org/package/2006/relationships"><Relationship Id="rId3" Type="http://schemas.openxmlformats.org/officeDocument/2006/relationships/themeOverride" Target="../theme/themeOverride25.xml"/><Relationship Id="rId2" Type="http://schemas.microsoft.com/office/2011/relationships/chartColorStyle" Target="colors25.xml"/><Relationship Id="rId1" Type="http://schemas.microsoft.com/office/2011/relationships/chartStyle" Target="style25.xml"/><Relationship Id="rId4" Type="http://schemas.openxmlformats.org/officeDocument/2006/relationships/oleObject" Target="../embeddings/oleObject25.bin"/></Relationships>
</file>

<file path=word/charts/_rels/chart26.xml.rels><?xml version="1.0" encoding="UTF-8" standalone="yes"?>
<Relationships xmlns="http://schemas.openxmlformats.org/package/2006/relationships"><Relationship Id="rId3" Type="http://schemas.openxmlformats.org/officeDocument/2006/relationships/themeOverride" Target="../theme/themeOverride26.xml"/><Relationship Id="rId2" Type="http://schemas.microsoft.com/office/2011/relationships/chartColorStyle" Target="colors26.xml"/><Relationship Id="rId1" Type="http://schemas.microsoft.com/office/2011/relationships/chartStyle" Target="style26.xml"/><Relationship Id="rId4" Type="http://schemas.openxmlformats.org/officeDocument/2006/relationships/oleObject" Target="../embeddings/oleObject26.bin"/></Relationships>
</file>

<file path=word/charts/_rels/chart27.xml.rels><?xml version="1.0" encoding="UTF-8" standalone="yes"?>
<Relationships xmlns="http://schemas.openxmlformats.org/package/2006/relationships"><Relationship Id="rId3" Type="http://schemas.openxmlformats.org/officeDocument/2006/relationships/themeOverride" Target="../theme/themeOverride27.xml"/><Relationship Id="rId2" Type="http://schemas.microsoft.com/office/2011/relationships/chartColorStyle" Target="colors27.xml"/><Relationship Id="rId1" Type="http://schemas.microsoft.com/office/2011/relationships/chartStyle" Target="style27.xml"/><Relationship Id="rId4" Type="http://schemas.openxmlformats.org/officeDocument/2006/relationships/oleObject" Target="../embeddings/oleObject27.bin"/></Relationships>
</file>

<file path=word/charts/_rels/chart28.xml.rels><?xml version="1.0" encoding="UTF-8" standalone="yes"?>
<Relationships xmlns="http://schemas.openxmlformats.org/package/2006/relationships"><Relationship Id="rId3" Type="http://schemas.openxmlformats.org/officeDocument/2006/relationships/themeOverride" Target="../theme/themeOverride28.xml"/><Relationship Id="rId2" Type="http://schemas.microsoft.com/office/2011/relationships/chartColorStyle" Target="colors28.xml"/><Relationship Id="rId1" Type="http://schemas.microsoft.com/office/2011/relationships/chartStyle" Target="style28.xml"/><Relationship Id="rId4" Type="http://schemas.openxmlformats.org/officeDocument/2006/relationships/oleObject" Target="../embeddings/oleObject28.bin"/></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200038933752209"/>
          <c:y val="0.19047619047619047"/>
          <c:w val="0.64957179303636003"/>
          <c:h val="0.54038251228211853"/>
        </c:manualLayout>
      </c:layout>
      <c:barChart>
        <c:barDir val="col"/>
        <c:grouping val="clustered"/>
        <c:varyColors val="1"/>
        <c:ser>
          <c:idx val="2"/>
          <c:order val="0"/>
          <c:tx>
            <c:strRef>
              <c:f>'[DPR working file 2021.xlsx]Total public Debt'!$A$3</c:f>
              <c:strCache>
                <c:ptCount val="1"/>
                <c:pt idx="0">
                  <c:v>Domestic</c:v>
                </c:pt>
              </c:strCache>
            </c:strRef>
          </c:tx>
          <c:spPr>
            <a:solidFill>
              <a:srgbClr val="00B050"/>
            </a:solidFill>
            <a:ln>
              <a:noFill/>
            </a:ln>
            <a:effectLst/>
          </c:spPr>
          <c:invertIfNegative val="0"/>
          <c:dPt>
            <c:idx val="0"/>
            <c:invertIfNegative val="0"/>
            <c:bubble3D val="0"/>
            <c:spPr>
              <a:solidFill>
                <a:srgbClr val="00B050"/>
              </a:solidFill>
              <a:ln>
                <a:noFill/>
              </a:ln>
              <a:effectLst/>
            </c:spPr>
            <c:extLst xmlns:c16r2="http://schemas.microsoft.com/office/drawing/2015/06/chart">
              <c:ext xmlns:c16="http://schemas.microsoft.com/office/drawing/2014/chart" uri="{C3380CC4-5D6E-409C-BE32-E72D297353CC}">
                <c16:uniqueId val="{00000001-0AE4-4258-8B9A-95C9F23734F6}"/>
              </c:ext>
            </c:extLst>
          </c:dPt>
          <c:dPt>
            <c:idx val="1"/>
            <c:invertIfNegative val="0"/>
            <c:bubble3D val="0"/>
            <c:spPr>
              <a:solidFill>
                <a:srgbClr val="00B050"/>
              </a:solidFill>
              <a:ln>
                <a:noFill/>
              </a:ln>
              <a:effectLst/>
            </c:spPr>
            <c:extLst xmlns:c16r2="http://schemas.microsoft.com/office/drawing/2015/06/chart">
              <c:ext xmlns:c16="http://schemas.microsoft.com/office/drawing/2014/chart" uri="{C3380CC4-5D6E-409C-BE32-E72D297353CC}">
                <c16:uniqueId val="{00000003-0AE4-4258-8B9A-95C9F23734F6}"/>
              </c:ext>
            </c:extLst>
          </c:dPt>
          <c:dPt>
            <c:idx val="2"/>
            <c:invertIfNegative val="0"/>
            <c:bubble3D val="0"/>
            <c:spPr>
              <a:solidFill>
                <a:srgbClr val="00B050"/>
              </a:solidFill>
              <a:ln>
                <a:noFill/>
              </a:ln>
              <a:effectLst/>
            </c:spPr>
            <c:extLst xmlns:c16r2="http://schemas.microsoft.com/office/drawing/2015/06/chart">
              <c:ext xmlns:c16="http://schemas.microsoft.com/office/drawing/2014/chart" uri="{C3380CC4-5D6E-409C-BE32-E72D297353CC}">
                <c16:uniqueId val="{00000005-0AE4-4258-8B9A-95C9F23734F6}"/>
              </c:ext>
            </c:extLst>
          </c:dPt>
          <c:dPt>
            <c:idx val="3"/>
            <c:invertIfNegative val="0"/>
            <c:bubble3D val="0"/>
            <c:spPr>
              <a:solidFill>
                <a:srgbClr val="00B050"/>
              </a:solidFill>
              <a:ln>
                <a:noFill/>
              </a:ln>
              <a:effectLst/>
            </c:spPr>
            <c:extLst xmlns:c16r2="http://schemas.microsoft.com/office/drawing/2015/06/chart">
              <c:ext xmlns:c16="http://schemas.microsoft.com/office/drawing/2014/chart" uri="{C3380CC4-5D6E-409C-BE32-E72D297353CC}">
                <c16:uniqueId val="{00000007-0AE4-4258-8B9A-95C9F23734F6}"/>
              </c:ext>
            </c:extLst>
          </c:dPt>
          <c:dPt>
            <c:idx val="4"/>
            <c:invertIfNegative val="0"/>
            <c:bubble3D val="0"/>
            <c:spPr>
              <a:solidFill>
                <a:srgbClr val="00B050"/>
              </a:solidFill>
              <a:ln>
                <a:noFill/>
              </a:ln>
              <a:effectLst/>
            </c:spPr>
            <c:extLst xmlns:c16r2="http://schemas.microsoft.com/office/drawing/2015/06/chart">
              <c:ext xmlns:c16="http://schemas.microsoft.com/office/drawing/2014/chart" uri="{C3380CC4-5D6E-409C-BE32-E72D297353CC}">
                <c16:uniqueId val="{00000009-0AE4-4258-8B9A-95C9F23734F6}"/>
              </c:ext>
            </c:extLst>
          </c:dPt>
          <c:cat>
            <c:strRef>
              <c:f>'[DPR working file 2021.xlsx]Total public Debt'!$B$2:$F$2</c:f>
              <c:strCache>
                <c:ptCount val="5"/>
                <c:pt idx="0">
                  <c:v>2017</c:v>
                </c:pt>
                <c:pt idx="1">
                  <c:v>2018</c:v>
                </c:pt>
                <c:pt idx="2">
                  <c:v>2019</c:v>
                </c:pt>
                <c:pt idx="3">
                  <c:v>2020</c:v>
                </c:pt>
                <c:pt idx="4">
                  <c:v>2021</c:v>
                </c:pt>
              </c:strCache>
            </c:strRef>
          </c:cat>
          <c:val>
            <c:numRef>
              <c:f>'[DPR working file 2021.xlsx]Total public Debt'!$B$3:$F$3</c:f>
              <c:numCache>
                <c:formatCode>0.00</c:formatCode>
                <c:ptCount val="5"/>
                <c:pt idx="0">
                  <c:v>1543.9387497980006</c:v>
                </c:pt>
                <c:pt idx="1">
                  <c:v>1688.7305419210002</c:v>
                </c:pt>
                <c:pt idx="2">
                  <c:v>1727.7192769999999</c:v>
                </c:pt>
                <c:pt idx="3">
                  <c:v>1826.56</c:v>
                </c:pt>
                <c:pt idx="4">
                  <c:v>1845.1861684220007</c:v>
                </c:pt>
              </c:numCache>
            </c:numRef>
          </c:val>
          <c:extLst xmlns:c16r2="http://schemas.microsoft.com/office/drawing/2015/06/chart">
            <c:ext xmlns:c16="http://schemas.microsoft.com/office/drawing/2014/chart" uri="{C3380CC4-5D6E-409C-BE32-E72D297353CC}">
              <c16:uniqueId val="{0000000A-0AE4-4258-8B9A-95C9F23734F6}"/>
            </c:ext>
          </c:extLst>
        </c:ser>
        <c:ser>
          <c:idx val="0"/>
          <c:order val="1"/>
          <c:tx>
            <c:strRef>
              <c:f>'[DPR working file 2021.xlsx]Total public Debt'!$A$4</c:f>
              <c:strCache>
                <c:ptCount val="1"/>
                <c:pt idx="0">
                  <c:v>External</c:v>
                </c:pt>
              </c:strCache>
            </c:strRef>
          </c:tx>
          <c:spPr>
            <a:solidFill>
              <a:schemeClr val="accent1"/>
            </a:solidFill>
            <a:ln>
              <a:noFill/>
            </a:ln>
            <a:effectLst/>
          </c:spPr>
          <c:invertIfNegative val="0"/>
          <c:cat>
            <c:strRef>
              <c:f>'[DPR working file 2021.xlsx]Total public Debt'!$B$2:$F$2</c:f>
              <c:strCache>
                <c:ptCount val="5"/>
                <c:pt idx="0">
                  <c:v>2017</c:v>
                </c:pt>
                <c:pt idx="1">
                  <c:v>2018</c:v>
                </c:pt>
                <c:pt idx="2">
                  <c:v>2019</c:v>
                </c:pt>
                <c:pt idx="3">
                  <c:v>2020</c:v>
                </c:pt>
                <c:pt idx="4">
                  <c:v>2021</c:v>
                </c:pt>
              </c:strCache>
            </c:strRef>
          </c:cat>
          <c:val>
            <c:numRef>
              <c:f>'[DPR working file 2021.xlsx]Total public Debt'!$B$4:$F$4</c:f>
              <c:numCache>
                <c:formatCode>0.00</c:formatCode>
                <c:ptCount val="5"/>
                <c:pt idx="0">
                  <c:v>1633.3401298802673</c:v>
                </c:pt>
                <c:pt idx="1">
                  <c:v>1617.5987832491141</c:v>
                </c:pt>
                <c:pt idx="2">
                  <c:v>1689.6775029999999</c:v>
                </c:pt>
                <c:pt idx="3">
                  <c:v>1947.2424868671242</c:v>
                </c:pt>
                <c:pt idx="4">
                  <c:v>2290.2403526887724</c:v>
                </c:pt>
              </c:numCache>
            </c:numRef>
          </c:val>
          <c:extLst xmlns:c16r2="http://schemas.microsoft.com/office/drawing/2015/06/chart">
            <c:ext xmlns:c16="http://schemas.microsoft.com/office/drawing/2014/chart" uri="{C3380CC4-5D6E-409C-BE32-E72D297353CC}">
              <c16:uniqueId val="{0000000B-0AE4-4258-8B9A-95C9F23734F6}"/>
            </c:ext>
          </c:extLst>
        </c:ser>
        <c:dLbls>
          <c:showLegendKey val="0"/>
          <c:showVal val="0"/>
          <c:showCatName val="0"/>
          <c:showSerName val="0"/>
          <c:showPercent val="0"/>
          <c:showBubbleSize val="0"/>
        </c:dLbls>
        <c:gapWidth val="150"/>
        <c:axId val="219063080"/>
        <c:axId val="219064648"/>
      </c:barChart>
      <c:lineChart>
        <c:grouping val="standard"/>
        <c:varyColors val="1"/>
        <c:ser>
          <c:idx val="1"/>
          <c:order val="2"/>
          <c:tx>
            <c:strRef>
              <c:f>'[DPR working file 2021.xlsx]Total public Debt'!$A$6</c:f>
              <c:strCache>
                <c:ptCount val="1"/>
                <c:pt idx="0">
                  <c:v>Debt To GDP</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0"/>
              <c:layout>
                <c:manualLayout>
                  <c:x val="-4.395604395604398E-2"/>
                  <c:y val="2.777777777777777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528B-45EC-92A4-327E268F1FAF}"/>
                </c:ext>
                <c:ext xmlns:c15="http://schemas.microsoft.com/office/drawing/2012/chart" uri="{CE6537A1-D6FC-4f65-9D91-7224C49458BB}">
                  <c15:layout/>
                </c:ext>
              </c:extLst>
            </c:dLbl>
            <c:dLbl>
              <c:idx val="1"/>
              <c:layout>
                <c:manualLayout>
                  <c:x val="-4.3956043956043959E-2"/>
                  <c:y val="2.777777777777777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528B-45EC-92A4-327E268F1FAF}"/>
                </c:ext>
                <c:ext xmlns:c15="http://schemas.microsoft.com/office/drawing/2012/chart" uri="{CE6537A1-D6FC-4f65-9D91-7224C49458BB}">
                  <c15:layout/>
                </c:ext>
              </c:extLst>
            </c:dLbl>
            <c:dLbl>
              <c:idx val="2"/>
              <c:layout>
                <c:manualLayout>
                  <c:x val="-4.3956043956043959E-2"/>
                  <c:y val="-2.777777777777777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C-528B-45EC-92A4-327E268F1FAF}"/>
                </c:ext>
                <c:ext xmlns:c15="http://schemas.microsoft.com/office/drawing/2012/chart" uri="{CE6537A1-D6FC-4f65-9D91-7224C49458BB}">
                  <c15:layout/>
                </c:ext>
              </c:extLst>
            </c:dLbl>
            <c:dLbl>
              <c:idx val="3"/>
              <c:layout>
                <c:manualLayout>
                  <c:x val="-7.151246719160112E-2"/>
                  <c:y val="-4.040404040404043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528B-45EC-92A4-327E268F1FAF}"/>
                </c:ext>
                <c:ext xmlns:c15="http://schemas.microsoft.com/office/drawing/2012/chart" uri="{CE6537A1-D6FC-4f65-9D91-7224C49458BB}">
                  <c15:layout/>
                </c:ext>
              </c:extLst>
            </c:dLbl>
            <c:dLbl>
              <c:idx val="4"/>
              <c:layout>
                <c:manualLayout>
                  <c:x val="-6.1538461538461542E-2"/>
                  <c:y val="-5.092592592592592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E-528B-45EC-92A4-327E268F1FAF}"/>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'[DPR working file 2021.xlsx]Total public Debt'!$B$2:$F$2</c:f>
              <c:strCache>
                <c:ptCount val="5"/>
                <c:pt idx="0">
                  <c:v>2017</c:v>
                </c:pt>
                <c:pt idx="1">
                  <c:v>2018</c:v>
                </c:pt>
                <c:pt idx="2">
                  <c:v>2019</c:v>
                </c:pt>
                <c:pt idx="3">
                  <c:v>2020</c:v>
                </c:pt>
                <c:pt idx="4">
                  <c:v>2021</c:v>
                </c:pt>
              </c:strCache>
            </c:strRef>
          </c:cat>
          <c:val>
            <c:numRef>
              <c:f>'[DPR working file 2021.xlsx]Total public Debt'!$B$6:$F$6</c:f>
              <c:numCache>
                <c:formatCode>0.0</c:formatCode>
                <c:ptCount val="5"/>
                <c:pt idx="0">
                  <c:v>58.9</c:v>
                </c:pt>
                <c:pt idx="1">
                  <c:v>59.3</c:v>
                </c:pt>
                <c:pt idx="2">
                  <c:v>59.7</c:v>
                </c:pt>
                <c:pt idx="3">
                  <c:v>92.2</c:v>
                </c:pt>
                <c:pt idx="4">
                  <c:v>90.6</c:v>
                </c:pt>
              </c:numCache>
            </c:numRef>
          </c:val>
          <c:smooth val="0"/>
          <c:extLst xmlns:c16r2="http://schemas.microsoft.com/office/drawing/2015/06/chart">
            <c:ext xmlns:c16="http://schemas.microsoft.com/office/drawing/2014/chart" uri="{C3380CC4-5D6E-409C-BE32-E72D297353CC}">
              <c16:uniqueId val="{0000000C-0AE4-4258-8B9A-95C9F23734F6}"/>
            </c:ext>
          </c:extLst>
        </c:ser>
        <c:dLbls>
          <c:showLegendKey val="0"/>
          <c:showVal val="0"/>
          <c:showCatName val="0"/>
          <c:showSerName val="0"/>
          <c:showPercent val="0"/>
          <c:showBubbleSize val="0"/>
        </c:dLbls>
        <c:marker val="1"/>
        <c:smooth val="0"/>
        <c:axId val="219064256"/>
        <c:axId val="219063864"/>
      </c:lineChart>
      <c:catAx>
        <c:axId val="219063080"/>
        <c:scaling>
          <c:orientation val="minMax"/>
        </c:scaling>
        <c:delete val="0"/>
        <c:axPos val="b"/>
        <c:numFmt formatCode="General" sourceLinked="1"/>
        <c:majorTickMark val="none"/>
        <c:minorTickMark val="none"/>
        <c:tickLblPos val="nextTo"/>
        <c:spPr>
          <a:noFill/>
          <a:ln w="9525">
            <a:noFill/>
            <a:round/>
          </a:ln>
          <a:effectLst/>
        </c:spPr>
        <c:txPr>
          <a:bodyPr rot="0" spcFirstLastPara="1" vertOverflow="ellipsis"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19064648"/>
        <c:crosses val="autoZero"/>
        <c:auto val="1"/>
        <c:lblAlgn val="ctr"/>
        <c:lblOffset val="100"/>
        <c:noMultiLvlLbl val="0"/>
      </c:catAx>
      <c:valAx>
        <c:axId val="219064648"/>
        <c:scaling>
          <c:orientation val="minMax"/>
          <c:max val="2500"/>
          <c:min val="0"/>
        </c:scaling>
        <c:delete val="0"/>
        <c:axPos val="l"/>
        <c:majorGridlines>
          <c:spPr>
            <a:ln w="9525">
              <a:no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Millions (XCD)</a:t>
                </a:r>
              </a:p>
            </c:rich>
          </c:tx>
          <c:layout/>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19063080"/>
        <c:crosses val="autoZero"/>
        <c:crossBetween val="between"/>
        <c:majorUnit val="500"/>
      </c:valAx>
      <c:valAx>
        <c:axId val="219063864"/>
        <c:scaling>
          <c:orientation val="minMax"/>
        </c:scaling>
        <c:delete val="0"/>
        <c:axPos val="r"/>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029"/>
                  <a:t>% of GDP</a:t>
                </a:r>
              </a:p>
            </c:rich>
          </c:tx>
          <c:layout/>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19064256"/>
        <c:crosses val="max"/>
        <c:crossBetween val="between"/>
      </c:valAx>
      <c:catAx>
        <c:axId val="219064256"/>
        <c:scaling>
          <c:orientation val="minMax"/>
        </c:scaling>
        <c:delete val="1"/>
        <c:axPos val="b"/>
        <c:numFmt formatCode="General" sourceLinked="1"/>
        <c:majorTickMark val="out"/>
        <c:minorTickMark val="none"/>
        <c:tickLblPos val="nextTo"/>
        <c:crossAx val="219063864"/>
        <c:crosses val="autoZero"/>
        <c:auto val="1"/>
        <c:lblAlgn val="ctr"/>
        <c:lblOffset val="100"/>
        <c:noMultiLvlLbl val="0"/>
      </c:catAx>
      <c:spPr>
        <a:noFill/>
        <a:ln>
          <a:noFill/>
        </a:ln>
        <a:effectLst/>
      </c:spPr>
    </c:plotArea>
    <c:legend>
      <c:legendPos val="r"/>
      <c:layout>
        <c:manualLayout>
          <c:xMode val="edge"/>
          <c:yMode val="edge"/>
          <c:x val="8.8801277462694811E-2"/>
          <c:y val="0.85936679790026249"/>
          <c:w val="0.85719986050694708"/>
          <c:h val="0.1386520795477488"/>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ysClr val="window" lastClr="FFFFFF"/>
    </a:solid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6988538001898698"/>
          <c:y val="0.21514494771754814"/>
          <c:w val="0.53941475400681294"/>
          <c:h val="0.60609919740739804"/>
        </c:manualLayout>
      </c:layout>
      <c:bar3DChart>
        <c:barDir val="col"/>
        <c:grouping val="stacked"/>
        <c:varyColors val="0"/>
        <c:ser>
          <c:idx val="0"/>
          <c:order val="0"/>
          <c:tx>
            <c:strRef>
              <c:f>'[DPR working file 2021.xlsx]Total public Debt'!$A$20</c:f>
              <c:strCache>
                <c:ptCount val="1"/>
                <c:pt idx="0">
                  <c:v>Central Government Debt</c:v>
                </c:pt>
              </c:strCache>
            </c:strRef>
          </c:tx>
          <c:spPr>
            <a:solidFill>
              <a:schemeClr val="accent2"/>
            </a:solidFill>
            <a:ln>
              <a:noFill/>
            </a:ln>
            <a:effectLst/>
            <a:sp3d/>
          </c:spPr>
          <c:invertIfNegative val="0"/>
          <c:cat>
            <c:strRef>
              <c:f>'[DPR working file 2021.xlsx]Total public Debt'!$B$19:$F$19</c:f>
              <c:strCache>
                <c:ptCount val="5"/>
                <c:pt idx="0">
                  <c:v>2017</c:v>
                </c:pt>
                <c:pt idx="1">
                  <c:v>2018</c:v>
                </c:pt>
                <c:pt idx="2">
                  <c:v>2019</c:v>
                </c:pt>
                <c:pt idx="3">
                  <c:v>2020</c:v>
                </c:pt>
                <c:pt idx="4">
                  <c:v>2021</c:v>
                </c:pt>
              </c:strCache>
            </c:strRef>
          </c:cat>
          <c:val>
            <c:numRef>
              <c:f>'[DPR working file 2021.xlsx]Total public Debt'!$B$20:$F$20</c:f>
              <c:numCache>
                <c:formatCode>#,##0.00</c:formatCode>
                <c:ptCount val="5"/>
                <c:pt idx="0">
                  <c:v>2983.47206753727</c:v>
                </c:pt>
                <c:pt idx="1">
                  <c:v>3108.1359927846879</c:v>
                </c:pt>
                <c:pt idx="2">
                  <c:v>3224.7342758132986</c:v>
                </c:pt>
                <c:pt idx="3" formatCode="[$$-409]#,##0.00">
                  <c:v>3561.1245646263419</c:v>
                </c:pt>
                <c:pt idx="4">
                  <c:v>3864.3478319637729</c:v>
                </c:pt>
              </c:numCache>
            </c:numRef>
          </c:val>
          <c:extLst xmlns:c16r2="http://schemas.microsoft.com/office/drawing/2015/06/chart">
            <c:ext xmlns:c16="http://schemas.microsoft.com/office/drawing/2014/chart" uri="{C3380CC4-5D6E-409C-BE32-E72D297353CC}">
              <c16:uniqueId val="{00000000-DDCD-4B39-9489-D22A8ED3BAED}"/>
            </c:ext>
          </c:extLst>
        </c:ser>
        <c:ser>
          <c:idx val="1"/>
          <c:order val="1"/>
          <c:tx>
            <c:strRef>
              <c:f>'[DPR working file 2021.xlsx]Total public Debt'!$A$21</c:f>
              <c:strCache>
                <c:ptCount val="1"/>
                <c:pt idx="0">
                  <c:v>Government Guaranteed Debt</c:v>
                </c:pt>
              </c:strCache>
            </c:strRef>
          </c:tx>
          <c:spPr>
            <a:solidFill>
              <a:schemeClr val="accent4"/>
            </a:solidFill>
            <a:ln>
              <a:noFill/>
            </a:ln>
            <a:effectLst/>
            <a:sp3d/>
          </c:spPr>
          <c:invertIfNegative val="0"/>
          <c:cat>
            <c:strRef>
              <c:f>'[DPR working file 2021.xlsx]Total public Debt'!$B$19:$F$19</c:f>
              <c:strCache>
                <c:ptCount val="5"/>
                <c:pt idx="0">
                  <c:v>2017</c:v>
                </c:pt>
                <c:pt idx="1">
                  <c:v>2018</c:v>
                </c:pt>
                <c:pt idx="2">
                  <c:v>2019</c:v>
                </c:pt>
                <c:pt idx="3">
                  <c:v>2020</c:v>
                </c:pt>
                <c:pt idx="4">
                  <c:v>2021</c:v>
                </c:pt>
              </c:strCache>
            </c:strRef>
          </c:cat>
          <c:val>
            <c:numRef>
              <c:f>'[DPR working file 2021.xlsx]Total public Debt'!$B$21:$F$21</c:f>
              <c:numCache>
                <c:formatCode>#,##0.00</c:formatCode>
                <c:ptCount val="5"/>
                <c:pt idx="0">
                  <c:v>175.61683058100101</c:v>
                </c:pt>
                <c:pt idx="1">
                  <c:v>184.017667715426</c:v>
                </c:pt>
                <c:pt idx="2">
                  <c:v>192.13682632963597</c:v>
                </c:pt>
                <c:pt idx="3" formatCode="[$$-409]#,##0.00">
                  <c:v>211.85</c:v>
                </c:pt>
                <c:pt idx="4">
                  <c:v>270.87395923700001</c:v>
                </c:pt>
              </c:numCache>
            </c:numRef>
          </c:val>
          <c:extLst xmlns:c16r2="http://schemas.microsoft.com/office/drawing/2015/06/chart">
            <c:ext xmlns:c16="http://schemas.microsoft.com/office/drawing/2014/chart" uri="{C3380CC4-5D6E-409C-BE32-E72D297353CC}">
              <c16:uniqueId val="{00000001-DDCD-4B39-9489-D22A8ED3BAED}"/>
            </c:ext>
          </c:extLst>
        </c:ser>
        <c:ser>
          <c:idx val="2"/>
          <c:order val="2"/>
          <c:tx>
            <c:strRef>
              <c:f>'[DPR working file 2021.xlsx]Total public Debt'!$A$22</c:f>
              <c:strCache>
                <c:ptCount val="1"/>
                <c:pt idx="0">
                  <c:v>Non Guaranteed Debt</c:v>
                </c:pt>
              </c:strCache>
            </c:strRef>
          </c:tx>
          <c:spPr>
            <a:solidFill>
              <a:schemeClr val="accent6"/>
            </a:solidFill>
            <a:ln>
              <a:noFill/>
            </a:ln>
            <a:effectLst/>
            <a:sp3d/>
          </c:spPr>
          <c:invertIfNegative val="0"/>
          <c:cat>
            <c:strRef>
              <c:f>'[DPR working file 2021.xlsx]Total public Debt'!$B$19:$F$19</c:f>
              <c:strCache>
                <c:ptCount val="5"/>
                <c:pt idx="0">
                  <c:v>2017</c:v>
                </c:pt>
                <c:pt idx="1">
                  <c:v>2018</c:v>
                </c:pt>
                <c:pt idx="2">
                  <c:v>2019</c:v>
                </c:pt>
                <c:pt idx="3">
                  <c:v>2020</c:v>
                </c:pt>
                <c:pt idx="4">
                  <c:v>2021</c:v>
                </c:pt>
              </c:strCache>
            </c:strRef>
          </c:cat>
          <c:val>
            <c:numRef>
              <c:f>'[DPR working file 2021.xlsx]Total public Debt'!$B$22:$F$22</c:f>
              <c:numCache>
                <c:formatCode>#,##0.00</c:formatCode>
                <c:ptCount val="5"/>
                <c:pt idx="0">
                  <c:v>18.18998156</c:v>
                </c:pt>
                <c:pt idx="1">
                  <c:v>14.175663999999999</c:v>
                </c:pt>
                <c:pt idx="2">
                  <c:v>0.67862800000000001</c:v>
                </c:pt>
                <c:pt idx="3" formatCode="[$$-409]#,##0.00">
                  <c:v>0.82135957000000004</c:v>
                </c:pt>
                <c:pt idx="4">
                  <c:v>0.20472991000000001</c:v>
                </c:pt>
              </c:numCache>
            </c:numRef>
          </c:val>
          <c:extLst xmlns:c16r2="http://schemas.microsoft.com/office/drawing/2015/06/chart">
            <c:ext xmlns:c16="http://schemas.microsoft.com/office/drawing/2014/chart" uri="{C3380CC4-5D6E-409C-BE32-E72D297353CC}">
              <c16:uniqueId val="{00000002-DDCD-4B39-9489-D22A8ED3BAED}"/>
            </c:ext>
          </c:extLst>
        </c:ser>
        <c:dLbls>
          <c:showLegendKey val="0"/>
          <c:showVal val="0"/>
          <c:showCatName val="0"/>
          <c:showSerName val="0"/>
          <c:showPercent val="0"/>
          <c:showBubbleSize val="0"/>
        </c:dLbls>
        <c:gapWidth val="75"/>
        <c:gapDepth val="75"/>
        <c:shape val="box"/>
        <c:axId val="219065824"/>
        <c:axId val="289927088"/>
        <c:axId val="0"/>
      </c:bar3DChart>
      <c:catAx>
        <c:axId val="219065824"/>
        <c:scaling>
          <c:orientation val="minMax"/>
        </c:scaling>
        <c:delete val="0"/>
        <c:axPos val="b"/>
        <c:numFmt formatCode="General" sourceLinked="1"/>
        <c:majorTickMark val="none"/>
        <c:minorTickMark val="none"/>
        <c:tickLblPos val="nextTo"/>
        <c:spPr>
          <a:noFill/>
          <a:ln w="9525">
            <a:noFill/>
            <a:round/>
          </a:ln>
          <a:effectLst/>
        </c:spPr>
        <c:txPr>
          <a:bodyPr rot="-6000000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927088"/>
        <c:crosses val="autoZero"/>
        <c:auto val="1"/>
        <c:lblAlgn val="ctr"/>
        <c:lblOffset val="100"/>
        <c:noMultiLvlLbl val="0"/>
      </c:catAx>
      <c:valAx>
        <c:axId val="289927088"/>
        <c:scaling>
          <c:orientation val="minMax"/>
          <c:max val="3600"/>
          <c:min val="0"/>
        </c:scaling>
        <c:delete val="0"/>
        <c:axPos val="l"/>
        <c:majorGridlines>
          <c:spPr>
            <a:ln w="9525">
              <a:noFill/>
              <a:round/>
            </a:ln>
            <a:effectLst/>
          </c:spPr>
        </c:majorGridlines>
        <c:minorGridlines>
          <c:spPr>
            <a:ln w="9525">
              <a:noFill/>
              <a:round/>
            </a:ln>
            <a:effectLst/>
          </c:spPr>
        </c:minorGridlines>
        <c:title>
          <c:tx>
            <c:rich>
              <a:bodyPr rot="-540000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029"/>
                  <a:t>Millions (XCD)</a:t>
                </a:r>
              </a:p>
            </c:rich>
          </c:tx>
          <c:layout/>
          <c:overlay val="0"/>
          <c:spPr>
            <a:noFill/>
            <a:ln>
              <a:noFill/>
            </a:ln>
            <a:effectLst/>
          </c:spPr>
          <c:txPr>
            <a:bodyPr rot="-540000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19065824"/>
        <c:crosses val="autoZero"/>
        <c:crossBetween val="between"/>
        <c:majorUnit val="600"/>
      </c:valAx>
      <c:spPr>
        <a:noFill/>
        <a:ln>
          <a:noFill/>
        </a:ln>
        <a:effectLst/>
      </c:spPr>
    </c:plotArea>
    <c:legend>
      <c:legendPos val="r"/>
      <c:layout>
        <c:manualLayout>
          <c:xMode val="edge"/>
          <c:yMode val="edge"/>
          <c:x val="0.73453816943094874"/>
          <c:y val="0.45385472314352987"/>
          <c:w val="0.2654618305690512"/>
          <c:h val="0.43657138516849375"/>
        </c:manualLayout>
      </c:layout>
      <c:overlay val="0"/>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defRPr sz="7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2180382694098721"/>
          <c:y val="0.13227513227513227"/>
          <c:w val="0.67962986481528509"/>
          <c:h val="0.59732481356497102"/>
        </c:manualLayout>
      </c:layout>
      <c:barChart>
        <c:barDir val="col"/>
        <c:grouping val="stacked"/>
        <c:varyColors val="0"/>
        <c:ser>
          <c:idx val="0"/>
          <c:order val="0"/>
          <c:tx>
            <c:strRef>
              <c:f>'[DPR working file 2021.xlsx]Total public Debt'!$A$50</c:f>
              <c:strCache>
                <c:ptCount val="1"/>
                <c:pt idx="0">
                  <c:v>Loans</c:v>
                </c:pt>
              </c:strCache>
            </c:strRef>
          </c:tx>
          <c:spPr>
            <a:solidFill>
              <a:schemeClr val="accent1"/>
            </a:solidFill>
            <a:ln>
              <a:noFill/>
            </a:ln>
            <a:effectLst/>
          </c:spPr>
          <c:invertIfNegative val="0"/>
          <c:cat>
            <c:numRef>
              <c:f>'[DPR working file 2021.xlsx]Total public Debt'!$B$49:$F$49</c:f>
              <c:numCache>
                <c:formatCode>General</c:formatCode>
                <c:ptCount val="5"/>
                <c:pt idx="0">
                  <c:v>2017</c:v>
                </c:pt>
                <c:pt idx="1">
                  <c:v>2018</c:v>
                </c:pt>
                <c:pt idx="2">
                  <c:v>2019</c:v>
                </c:pt>
                <c:pt idx="3">
                  <c:v>2020</c:v>
                </c:pt>
                <c:pt idx="4">
                  <c:v>2021</c:v>
                </c:pt>
              </c:numCache>
            </c:numRef>
          </c:cat>
          <c:val>
            <c:numRef>
              <c:f>'[DPR working file 2021.xlsx]Total public Debt'!$B$50:$F$50</c:f>
              <c:numCache>
                <c:formatCode>_(* #,##0.00_);_(* \(#,##0.00\);_(* "-"??_);_(@_)</c:formatCode>
                <c:ptCount val="5"/>
                <c:pt idx="0">
                  <c:v>1089.49635743</c:v>
                </c:pt>
                <c:pt idx="1">
                  <c:v>1085.7064244891144</c:v>
                </c:pt>
                <c:pt idx="2">
                  <c:v>1118.0365725159359</c:v>
                </c:pt>
                <c:pt idx="3">
                  <c:v>1422.866726219341</c:v>
                </c:pt>
                <c:pt idx="4">
                  <c:v>1738.2071771197711</c:v>
                </c:pt>
              </c:numCache>
            </c:numRef>
          </c:val>
          <c:extLst xmlns:c16r2="http://schemas.microsoft.com/office/drawing/2015/06/chart">
            <c:ext xmlns:c16="http://schemas.microsoft.com/office/drawing/2014/chart" uri="{C3380CC4-5D6E-409C-BE32-E72D297353CC}">
              <c16:uniqueId val="{00000000-E46F-44BD-9D94-E33BBCE7ECC6}"/>
            </c:ext>
          </c:extLst>
        </c:ser>
        <c:ser>
          <c:idx val="1"/>
          <c:order val="1"/>
          <c:tx>
            <c:strRef>
              <c:f>'[DPR working file 2021.xlsx]Total public Debt'!$A$51</c:f>
              <c:strCache>
                <c:ptCount val="1"/>
                <c:pt idx="0">
                  <c:v>Bonds</c:v>
                </c:pt>
              </c:strCache>
            </c:strRef>
          </c:tx>
          <c:spPr>
            <a:solidFill>
              <a:schemeClr val="accent2"/>
            </a:solidFill>
            <a:ln>
              <a:noFill/>
            </a:ln>
            <a:effectLst/>
          </c:spPr>
          <c:invertIfNegative val="0"/>
          <c:cat>
            <c:numRef>
              <c:f>'[DPR working file 2021.xlsx]Total public Debt'!$B$49:$F$49</c:f>
              <c:numCache>
                <c:formatCode>General</c:formatCode>
                <c:ptCount val="5"/>
                <c:pt idx="0">
                  <c:v>2017</c:v>
                </c:pt>
                <c:pt idx="1">
                  <c:v>2018</c:v>
                </c:pt>
                <c:pt idx="2">
                  <c:v>2019</c:v>
                </c:pt>
                <c:pt idx="3">
                  <c:v>2020</c:v>
                </c:pt>
                <c:pt idx="4">
                  <c:v>2021</c:v>
                </c:pt>
              </c:numCache>
            </c:numRef>
          </c:cat>
          <c:val>
            <c:numRef>
              <c:f>'[DPR working file 2021.xlsx]Total public Debt'!$B$51:$F$51</c:f>
              <c:numCache>
                <c:formatCode>_(* #,##0.00_);_(* \(#,##0.00\);_(* "-"??_);_(@_)</c:formatCode>
                <c:ptCount val="5"/>
                <c:pt idx="0">
                  <c:v>1172.4704847530002</c:v>
                </c:pt>
                <c:pt idx="1">
                  <c:v>1238.4649769050002</c:v>
                </c:pt>
                <c:pt idx="2">
                  <c:v>1280.1289179</c:v>
                </c:pt>
                <c:pt idx="3">
                  <c:v>1383.588787272</c:v>
                </c:pt>
                <c:pt idx="4">
                  <c:v>1374.4718519099999</c:v>
                </c:pt>
              </c:numCache>
            </c:numRef>
          </c:val>
          <c:extLst xmlns:c16r2="http://schemas.microsoft.com/office/drawing/2015/06/chart">
            <c:ext xmlns:c16="http://schemas.microsoft.com/office/drawing/2014/chart" uri="{C3380CC4-5D6E-409C-BE32-E72D297353CC}">
              <c16:uniqueId val="{00000001-E46F-44BD-9D94-E33BBCE7ECC6}"/>
            </c:ext>
          </c:extLst>
        </c:ser>
        <c:ser>
          <c:idx val="2"/>
          <c:order val="2"/>
          <c:tx>
            <c:strRef>
              <c:f>'[DPR working file 2021.xlsx]Total public Debt'!$A$52</c:f>
              <c:strCache>
                <c:ptCount val="1"/>
                <c:pt idx="0">
                  <c:v>Notes</c:v>
                </c:pt>
              </c:strCache>
            </c:strRef>
          </c:tx>
          <c:spPr>
            <a:solidFill>
              <a:srgbClr val="1F497D"/>
            </a:solidFill>
            <a:ln>
              <a:noFill/>
            </a:ln>
            <a:effectLst/>
          </c:spPr>
          <c:invertIfNegative val="0"/>
          <c:cat>
            <c:numRef>
              <c:f>'[DPR working file 2021.xlsx]Total public Debt'!$B$49:$F$49</c:f>
              <c:numCache>
                <c:formatCode>General</c:formatCode>
                <c:ptCount val="5"/>
                <c:pt idx="0">
                  <c:v>2017</c:v>
                </c:pt>
                <c:pt idx="1">
                  <c:v>2018</c:v>
                </c:pt>
                <c:pt idx="2">
                  <c:v>2019</c:v>
                </c:pt>
                <c:pt idx="3">
                  <c:v>2020</c:v>
                </c:pt>
                <c:pt idx="4">
                  <c:v>2021</c:v>
                </c:pt>
              </c:numCache>
            </c:numRef>
          </c:cat>
          <c:val>
            <c:numRef>
              <c:f>'[DPR working file 2021.xlsx]Total public Debt'!$B$52:$F$52</c:f>
              <c:numCache>
                <c:formatCode>_(* #,##0.00_);_(* \(#,##0.00\);_(* "-"??_);_(@_)</c:formatCode>
                <c:ptCount val="5"/>
                <c:pt idx="0">
                  <c:v>418.021436263</c:v>
                </c:pt>
                <c:pt idx="1">
                  <c:v>619.78660519100004</c:v>
                </c:pt>
                <c:pt idx="2">
                  <c:v>675.60215216400002</c:v>
                </c:pt>
                <c:pt idx="3">
                  <c:v>636.61022408200006</c:v>
                </c:pt>
                <c:pt idx="4">
                  <c:v>657.35633286899997</c:v>
                </c:pt>
              </c:numCache>
            </c:numRef>
          </c:val>
          <c:extLst xmlns:c16r2="http://schemas.microsoft.com/office/drawing/2015/06/chart">
            <c:ext xmlns:c16="http://schemas.microsoft.com/office/drawing/2014/chart" uri="{C3380CC4-5D6E-409C-BE32-E72D297353CC}">
              <c16:uniqueId val="{00000002-E46F-44BD-9D94-E33BBCE7ECC6}"/>
            </c:ext>
          </c:extLst>
        </c:ser>
        <c:ser>
          <c:idx val="3"/>
          <c:order val="3"/>
          <c:tx>
            <c:strRef>
              <c:f>'[DPR working file 2021.xlsx]Total public Debt'!$A$53</c:f>
              <c:strCache>
                <c:ptCount val="1"/>
                <c:pt idx="0">
                  <c:v>Treasury Bills</c:v>
                </c:pt>
              </c:strCache>
            </c:strRef>
          </c:tx>
          <c:spPr>
            <a:solidFill>
              <a:schemeClr val="accent4"/>
            </a:solidFill>
            <a:ln>
              <a:noFill/>
            </a:ln>
            <a:effectLst/>
          </c:spPr>
          <c:invertIfNegative val="0"/>
          <c:cat>
            <c:numRef>
              <c:f>'[DPR working file 2021.xlsx]Total public Debt'!$B$49:$F$49</c:f>
              <c:numCache>
                <c:formatCode>General</c:formatCode>
                <c:ptCount val="5"/>
                <c:pt idx="0">
                  <c:v>2017</c:v>
                </c:pt>
                <c:pt idx="1">
                  <c:v>2018</c:v>
                </c:pt>
                <c:pt idx="2">
                  <c:v>2019</c:v>
                </c:pt>
                <c:pt idx="3">
                  <c:v>2020</c:v>
                </c:pt>
                <c:pt idx="4">
                  <c:v>2021</c:v>
                </c:pt>
              </c:numCache>
            </c:numRef>
          </c:cat>
          <c:val>
            <c:numRef>
              <c:f>'[DPR working file 2021.xlsx]Total public Debt'!$B$53:$F$53</c:f>
              <c:numCache>
                <c:formatCode>_(* #,##0.00_);_(* \(#,##0.00\);_(* "-"??_);_(@_)</c:formatCode>
                <c:ptCount val="5"/>
                <c:pt idx="0">
                  <c:v>497.29648230099997</c:v>
                </c:pt>
                <c:pt idx="1">
                  <c:v>362.37131875500006</c:v>
                </c:pt>
                <c:pt idx="2">
                  <c:v>343.782087563</c:v>
                </c:pt>
                <c:pt idx="3">
                  <c:v>330.74953815900005</c:v>
                </c:pt>
                <c:pt idx="4">
                  <c:v>365.39115921199999</c:v>
                </c:pt>
              </c:numCache>
            </c:numRef>
          </c:val>
          <c:extLst xmlns:c16r2="http://schemas.microsoft.com/office/drawing/2015/06/chart">
            <c:ext xmlns:c16="http://schemas.microsoft.com/office/drawing/2014/chart" uri="{C3380CC4-5D6E-409C-BE32-E72D297353CC}">
              <c16:uniqueId val="{00000003-E46F-44BD-9D94-E33BBCE7ECC6}"/>
            </c:ext>
          </c:extLst>
        </c:ser>
        <c:dLbls>
          <c:showLegendKey val="0"/>
          <c:showVal val="0"/>
          <c:showCatName val="0"/>
          <c:showSerName val="0"/>
          <c:showPercent val="0"/>
          <c:showBubbleSize val="0"/>
        </c:dLbls>
        <c:gapWidth val="150"/>
        <c:overlap val="100"/>
        <c:axId val="289920816"/>
        <c:axId val="289924344"/>
      </c:barChart>
      <c:catAx>
        <c:axId val="289920816"/>
        <c:scaling>
          <c:orientation val="minMax"/>
        </c:scaling>
        <c:delete val="0"/>
        <c:axPos val="b"/>
        <c:numFmt formatCode="General" sourceLinked="1"/>
        <c:majorTickMark val="none"/>
        <c:minorTickMark val="none"/>
        <c:tickLblPos val="nextTo"/>
        <c:spPr>
          <a:noFill/>
          <a:ln w="9525">
            <a:no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924344"/>
        <c:crosses val="autoZero"/>
        <c:auto val="1"/>
        <c:lblAlgn val="ctr"/>
        <c:lblOffset val="100"/>
        <c:noMultiLvlLbl val="0"/>
      </c:catAx>
      <c:valAx>
        <c:axId val="289924344"/>
        <c:scaling>
          <c:orientation val="minMax"/>
        </c:scaling>
        <c:delete val="0"/>
        <c:axPos val="l"/>
        <c:majorGridlines>
          <c:spPr>
            <a:ln w="9525">
              <a:no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Millions (XCD)</a:t>
                </a:r>
              </a:p>
            </c:rich>
          </c:tx>
          <c:layout/>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920816"/>
        <c:crosses val="autoZero"/>
        <c:crossBetween val="between"/>
        <c:majorUnit val="800"/>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defRPr sz="80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6206487446644932"/>
          <c:y val="0.11473429951690821"/>
          <c:w val="0.77901256661099183"/>
          <c:h val="0.55823823652478222"/>
        </c:manualLayout>
      </c:layout>
      <c:bar3DChart>
        <c:barDir val="col"/>
        <c:grouping val="stacked"/>
        <c:varyColors val="0"/>
        <c:ser>
          <c:idx val="0"/>
          <c:order val="0"/>
          <c:tx>
            <c:strRef>
              <c:f>'[DPR working file 2021.xlsx]Domestic Debt'!$A$2</c:f>
              <c:strCache>
                <c:ptCount val="1"/>
                <c:pt idx="0">
                  <c:v>Central Government Debt </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sp3d/>
          </c:spPr>
          <c:invertIfNegative val="0"/>
          <c:cat>
            <c:numRef>
              <c:f>'[DPR working file 2021.xlsx]Domestic Debt'!$B$1:$F$1</c:f>
              <c:numCache>
                <c:formatCode>General</c:formatCode>
                <c:ptCount val="5"/>
                <c:pt idx="0">
                  <c:v>2017</c:v>
                </c:pt>
                <c:pt idx="1">
                  <c:v>2018</c:v>
                </c:pt>
                <c:pt idx="2">
                  <c:v>2019</c:v>
                </c:pt>
                <c:pt idx="3">
                  <c:v>2020</c:v>
                </c:pt>
                <c:pt idx="4">
                  <c:v>2021</c:v>
                </c:pt>
              </c:numCache>
            </c:numRef>
          </c:cat>
          <c:val>
            <c:numRef>
              <c:f>'[DPR working file 2021.xlsx]Domestic Debt'!$B$2:$F$2</c:f>
              <c:numCache>
                <c:formatCode>0.00</c:formatCode>
                <c:ptCount val="5"/>
                <c:pt idx="0">
                  <c:v>1392.5806211380007</c:v>
                </c:pt>
                <c:pt idx="1">
                  <c:v>1527.6517591810002</c:v>
                </c:pt>
                <c:pt idx="2">
                  <c:v>1584.216338749</c:v>
                </c:pt>
                <c:pt idx="3">
                  <c:v>1680.17</c:v>
                </c:pt>
                <c:pt idx="4">
                  <c:v>1689.8507619440004</c:v>
                </c:pt>
              </c:numCache>
            </c:numRef>
          </c:val>
          <c:extLst xmlns:c16r2="http://schemas.microsoft.com/office/drawing/2015/06/chart">
            <c:ext xmlns:c16="http://schemas.microsoft.com/office/drawing/2014/chart" uri="{C3380CC4-5D6E-409C-BE32-E72D297353CC}">
              <c16:uniqueId val="{00000000-142E-4B40-B5D6-DACA7CF69756}"/>
            </c:ext>
          </c:extLst>
        </c:ser>
        <c:ser>
          <c:idx val="1"/>
          <c:order val="1"/>
          <c:tx>
            <c:strRef>
              <c:f>'[DPR working file 2021.xlsx]Domestic Debt'!$A$3</c:f>
              <c:strCache>
                <c:ptCount val="1"/>
                <c:pt idx="0">
                  <c:v>Government Guaranteed Debt</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invertIfNegative val="0"/>
          <c:cat>
            <c:numRef>
              <c:f>'[DPR working file 2021.xlsx]Domestic Debt'!$B$1:$F$1</c:f>
              <c:numCache>
                <c:formatCode>General</c:formatCode>
                <c:ptCount val="5"/>
                <c:pt idx="0">
                  <c:v>2017</c:v>
                </c:pt>
                <c:pt idx="1">
                  <c:v>2018</c:v>
                </c:pt>
                <c:pt idx="2">
                  <c:v>2019</c:v>
                </c:pt>
                <c:pt idx="3">
                  <c:v>2020</c:v>
                </c:pt>
                <c:pt idx="4">
                  <c:v>2021</c:v>
                </c:pt>
              </c:numCache>
            </c:numRef>
          </c:cat>
          <c:val>
            <c:numRef>
              <c:f>'[DPR working file 2021.xlsx]Domestic Debt'!$B$3:$F$3</c:f>
              <c:numCache>
                <c:formatCode>0.00</c:formatCode>
                <c:ptCount val="5"/>
                <c:pt idx="0">
                  <c:v>133.1681471</c:v>
                </c:pt>
                <c:pt idx="1">
                  <c:v>146.90311832</c:v>
                </c:pt>
                <c:pt idx="2">
                  <c:v>143.00432778999999</c:v>
                </c:pt>
                <c:pt idx="3">
                  <c:v>145.58000000000001</c:v>
                </c:pt>
                <c:pt idx="4">
                  <c:v>155.13067656799998</c:v>
                </c:pt>
              </c:numCache>
            </c:numRef>
          </c:val>
          <c:extLst xmlns:c16r2="http://schemas.microsoft.com/office/drawing/2015/06/chart">
            <c:ext xmlns:c16="http://schemas.microsoft.com/office/drawing/2014/chart" uri="{C3380CC4-5D6E-409C-BE32-E72D297353CC}">
              <c16:uniqueId val="{00000001-142E-4B40-B5D6-DACA7CF69756}"/>
            </c:ext>
          </c:extLst>
        </c:ser>
        <c:ser>
          <c:idx val="2"/>
          <c:order val="2"/>
          <c:tx>
            <c:strRef>
              <c:f>'[DPR working file 2021.xlsx]Domestic Debt'!$A$4</c:f>
              <c:strCache>
                <c:ptCount val="1"/>
                <c:pt idx="0">
                  <c:v>Non Guaranteed Debt</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invertIfNegative val="0"/>
          <c:cat>
            <c:numRef>
              <c:f>'[DPR working file 2021.xlsx]Domestic Debt'!$B$1:$F$1</c:f>
              <c:numCache>
                <c:formatCode>General</c:formatCode>
                <c:ptCount val="5"/>
                <c:pt idx="0">
                  <c:v>2017</c:v>
                </c:pt>
                <c:pt idx="1">
                  <c:v>2018</c:v>
                </c:pt>
                <c:pt idx="2">
                  <c:v>2019</c:v>
                </c:pt>
                <c:pt idx="3">
                  <c:v>2020</c:v>
                </c:pt>
                <c:pt idx="4">
                  <c:v>2021</c:v>
                </c:pt>
              </c:numCache>
            </c:numRef>
          </c:cat>
          <c:val>
            <c:numRef>
              <c:f>'[DPR working file 2021.xlsx]Domestic Debt'!$B$4:$F$4</c:f>
              <c:numCache>
                <c:formatCode>0.00</c:formatCode>
                <c:ptCount val="5"/>
                <c:pt idx="0">
                  <c:v>18.18998156</c:v>
                </c:pt>
                <c:pt idx="1">
                  <c:v>14.175663999999999</c:v>
                </c:pt>
                <c:pt idx="2">
                  <c:v>0.67862800000000001</c:v>
                </c:pt>
                <c:pt idx="3">
                  <c:v>0.82135999999999998</c:v>
                </c:pt>
                <c:pt idx="4">
                  <c:v>0.20472991000000001</c:v>
                </c:pt>
              </c:numCache>
            </c:numRef>
          </c:val>
          <c:extLst xmlns:c16r2="http://schemas.microsoft.com/office/drawing/2015/06/chart">
            <c:ext xmlns:c16="http://schemas.microsoft.com/office/drawing/2014/chart" uri="{C3380CC4-5D6E-409C-BE32-E72D297353CC}">
              <c16:uniqueId val="{00000002-142E-4B40-B5D6-DACA7CF69756}"/>
            </c:ext>
          </c:extLst>
        </c:ser>
        <c:dLbls>
          <c:showLegendKey val="0"/>
          <c:showVal val="0"/>
          <c:showCatName val="0"/>
          <c:showSerName val="0"/>
          <c:showPercent val="0"/>
          <c:showBubbleSize val="0"/>
        </c:dLbls>
        <c:gapWidth val="150"/>
        <c:shape val="box"/>
        <c:axId val="289926696"/>
        <c:axId val="289921208"/>
        <c:axId val="0"/>
      </c:bar3DChart>
      <c:catAx>
        <c:axId val="289926696"/>
        <c:scaling>
          <c:orientation val="minMax"/>
        </c:scaling>
        <c:delete val="0"/>
        <c:axPos val="b"/>
        <c:numFmt formatCode="General" sourceLinked="1"/>
        <c:majorTickMark val="none"/>
        <c:minorTickMark val="none"/>
        <c:tickLblPos val="nextTo"/>
        <c:spPr>
          <a:noFill/>
          <a:ln w="9525">
            <a:no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921208"/>
        <c:crosses val="autoZero"/>
        <c:auto val="1"/>
        <c:lblAlgn val="ctr"/>
        <c:lblOffset val="100"/>
        <c:noMultiLvlLbl val="0"/>
      </c:catAx>
      <c:valAx>
        <c:axId val="289921208"/>
        <c:scaling>
          <c:orientation val="minMax"/>
          <c:max val="2000"/>
          <c:min val="0"/>
        </c:scaling>
        <c:delete val="0"/>
        <c:axPos val="l"/>
        <c:majorGridlines>
          <c:spPr>
            <a:ln w="9525">
              <a:no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Millions (XCD)</a:t>
                </a:r>
              </a:p>
            </c:rich>
          </c:tx>
          <c:layout/>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926696"/>
        <c:crosses val="autoZero"/>
        <c:crossBetween val="between"/>
        <c:majorUnit val="500"/>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0836117076274557"/>
          <c:y val="0.21929824561403508"/>
          <c:w val="0.55365797078395507"/>
          <c:h val="0.63367523138555049"/>
        </c:manualLayout>
      </c:layout>
      <c:barChart>
        <c:barDir val="col"/>
        <c:grouping val="clustered"/>
        <c:varyColors val="0"/>
        <c:ser>
          <c:idx val="0"/>
          <c:order val="0"/>
          <c:tx>
            <c:strRef>
              <c:f>'[DPR working file 2021.xlsx]Domestic Debt'!$A$28</c:f>
              <c:strCache>
                <c:ptCount val="1"/>
                <c:pt idx="0">
                  <c:v>Loans</c:v>
                </c:pt>
              </c:strCache>
            </c:strRef>
          </c:tx>
          <c:spPr>
            <a:solidFill>
              <a:schemeClr val="accent1"/>
            </a:solidFill>
            <a:ln>
              <a:noFill/>
            </a:ln>
            <a:effectLst/>
          </c:spPr>
          <c:invertIfNegative val="0"/>
          <c:cat>
            <c:strRef>
              <c:f>'[DPR working file 2021.xlsx]Domestic Debt'!$B$27:$F$27</c:f>
              <c:strCache>
                <c:ptCount val="5"/>
                <c:pt idx="0">
                  <c:v>2017</c:v>
                </c:pt>
                <c:pt idx="1">
                  <c:v>2018</c:v>
                </c:pt>
                <c:pt idx="2">
                  <c:v>2019</c:v>
                </c:pt>
                <c:pt idx="3">
                  <c:v>2020</c:v>
                </c:pt>
                <c:pt idx="4">
                  <c:v>2021</c:v>
                </c:pt>
              </c:strCache>
            </c:strRef>
          </c:cat>
          <c:val>
            <c:numRef>
              <c:f>'[DPR working file 2021.xlsx]Domestic Debt'!$B$28:$F$28</c:f>
              <c:numCache>
                <c:formatCode>0.00</c:formatCode>
                <c:ptCount val="5"/>
                <c:pt idx="0">
                  <c:v>375.31635743000004</c:v>
                </c:pt>
                <c:pt idx="1">
                  <c:v>407.83904984999998</c:v>
                </c:pt>
                <c:pt idx="2" formatCode="General">
                  <c:v>363.93777118000003</c:v>
                </c:pt>
                <c:pt idx="3">
                  <c:v>367.27386646999997</c:v>
                </c:pt>
                <c:pt idx="4">
                  <c:v>354.13260300799999</c:v>
                </c:pt>
              </c:numCache>
            </c:numRef>
          </c:val>
          <c:extLst xmlns:c16r2="http://schemas.microsoft.com/office/drawing/2015/06/chart">
            <c:ext xmlns:c16="http://schemas.microsoft.com/office/drawing/2014/chart" uri="{C3380CC4-5D6E-409C-BE32-E72D297353CC}">
              <c16:uniqueId val="{00000000-8509-437C-AD67-98ED8791E7E5}"/>
            </c:ext>
          </c:extLst>
        </c:ser>
        <c:ser>
          <c:idx val="1"/>
          <c:order val="1"/>
          <c:tx>
            <c:strRef>
              <c:f>'[DPR working file 2021.xlsx]Domestic Debt'!$A$29</c:f>
              <c:strCache>
                <c:ptCount val="1"/>
                <c:pt idx="0">
                  <c:v>Bonds</c:v>
                </c:pt>
              </c:strCache>
            </c:strRef>
          </c:tx>
          <c:spPr>
            <a:solidFill>
              <a:schemeClr val="accent2"/>
            </a:solidFill>
            <a:ln>
              <a:noFill/>
            </a:ln>
            <a:effectLst/>
          </c:spPr>
          <c:invertIfNegative val="0"/>
          <c:cat>
            <c:strRef>
              <c:f>'[DPR working file 2021.xlsx]Domestic Debt'!$B$27:$F$27</c:f>
              <c:strCache>
                <c:ptCount val="5"/>
                <c:pt idx="0">
                  <c:v>2017</c:v>
                </c:pt>
                <c:pt idx="1">
                  <c:v>2018</c:v>
                </c:pt>
                <c:pt idx="2">
                  <c:v>2019</c:v>
                </c:pt>
                <c:pt idx="3">
                  <c:v>2020</c:v>
                </c:pt>
                <c:pt idx="4">
                  <c:v>2021</c:v>
                </c:pt>
              </c:strCache>
            </c:strRef>
          </c:cat>
          <c:val>
            <c:numRef>
              <c:f>'[DPR working file 2021.xlsx]Domestic Debt'!$B$29:$F$29</c:f>
              <c:numCache>
                <c:formatCode>0.00</c:formatCode>
                <c:ptCount val="5"/>
                <c:pt idx="0">
                  <c:v>739.62123311000016</c:v>
                </c:pt>
                <c:pt idx="1">
                  <c:v>833.12042501300004</c:v>
                </c:pt>
                <c:pt idx="2">
                  <c:v>864.63439248999998</c:v>
                </c:pt>
                <c:pt idx="3">
                  <c:v>973.10410049599989</c:v>
                </c:pt>
                <c:pt idx="4">
                  <c:v>971.33147232999988</c:v>
                </c:pt>
              </c:numCache>
            </c:numRef>
          </c:val>
          <c:extLst xmlns:c16r2="http://schemas.microsoft.com/office/drawing/2015/06/chart">
            <c:ext xmlns:c16="http://schemas.microsoft.com/office/drawing/2014/chart" uri="{C3380CC4-5D6E-409C-BE32-E72D297353CC}">
              <c16:uniqueId val="{00000001-8509-437C-AD67-98ED8791E7E5}"/>
            </c:ext>
          </c:extLst>
        </c:ser>
        <c:ser>
          <c:idx val="2"/>
          <c:order val="2"/>
          <c:tx>
            <c:strRef>
              <c:f>'[DPR working file 2021.xlsx]Domestic Debt'!$A$31</c:f>
              <c:strCache>
                <c:ptCount val="1"/>
                <c:pt idx="0">
                  <c:v>Treasury Bills</c:v>
                </c:pt>
              </c:strCache>
            </c:strRef>
          </c:tx>
          <c:spPr>
            <a:solidFill>
              <a:schemeClr val="accent3"/>
            </a:solidFill>
            <a:ln>
              <a:noFill/>
            </a:ln>
            <a:effectLst/>
          </c:spPr>
          <c:invertIfNegative val="0"/>
          <c:cat>
            <c:strRef>
              <c:f>'[DPR working file 2021.xlsx]Domestic Debt'!$B$27:$F$27</c:f>
              <c:strCache>
                <c:ptCount val="5"/>
                <c:pt idx="0">
                  <c:v>2017</c:v>
                </c:pt>
                <c:pt idx="1">
                  <c:v>2018</c:v>
                </c:pt>
                <c:pt idx="2">
                  <c:v>2019</c:v>
                </c:pt>
                <c:pt idx="3">
                  <c:v>2020</c:v>
                </c:pt>
                <c:pt idx="4">
                  <c:v>2021</c:v>
                </c:pt>
              </c:strCache>
            </c:strRef>
          </c:cat>
          <c:val>
            <c:numRef>
              <c:f>'[DPR working file 2021.xlsx]Domestic Debt'!$B$31:$F$31</c:f>
              <c:numCache>
                <c:formatCode>0.00</c:formatCode>
                <c:ptCount val="5"/>
                <c:pt idx="0">
                  <c:v>216.976482301</c:v>
                </c:pt>
                <c:pt idx="1">
                  <c:v>116.36878042800001</c:v>
                </c:pt>
                <c:pt idx="2">
                  <c:v>141.378329944</c:v>
                </c:pt>
                <c:pt idx="3">
                  <c:v>120.56</c:v>
                </c:pt>
                <c:pt idx="4">
                  <c:v>116.84754250900001</c:v>
                </c:pt>
              </c:numCache>
            </c:numRef>
          </c:val>
          <c:extLst xmlns:c16r2="http://schemas.microsoft.com/office/drawing/2015/06/chart">
            <c:ext xmlns:c16="http://schemas.microsoft.com/office/drawing/2014/chart" uri="{C3380CC4-5D6E-409C-BE32-E72D297353CC}">
              <c16:uniqueId val="{00000002-8509-437C-AD67-98ED8791E7E5}"/>
            </c:ext>
          </c:extLst>
        </c:ser>
        <c:dLbls>
          <c:showLegendKey val="0"/>
          <c:showVal val="0"/>
          <c:showCatName val="0"/>
          <c:showSerName val="0"/>
          <c:showPercent val="0"/>
          <c:showBubbleSize val="0"/>
        </c:dLbls>
        <c:gapWidth val="150"/>
        <c:axId val="289925128"/>
        <c:axId val="289927872"/>
      </c:barChart>
      <c:catAx>
        <c:axId val="289925128"/>
        <c:scaling>
          <c:orientation val="minMax"/>
        </c:scaling>
        <c:delete val="0"/>
        <c:axPos val="b"/>
        <c:numFmt formatCode="General" sourceLinked="1"/>
        <c:majorTickMark val="none"/>
        <c:minorTickMark val="none"/>
        <c:tickLblPos val="nextTo"/>
        <c:spPr>
          <a:noFill/>
          <a:ln w="9525">
            <a:no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927872"/>
        <c:crosses val="autoZero"/>
        <c:auto val="1"/>
        <c:lblAlgn val="ctr"/>
        <c:lblOffset val="100"/>
        <c:noMultiLvlLbl val="0"/>
      </c:catAx>
      <c:valAx>
        <c:axId val="289927872"/>
        <c:scaling>
          <c:orientation val="minMax"/>
          <c:max val="1000"/>
        </c:scaling>
        <c:delete val="0"/>
        <c:axPos val="l"/>
        <c:majorGridlines>
          <c:spPr>
            <a:ln w="9525">
              <a:no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Millions (XCD)</a:t>
                </a:r>
              </a:p>
            </c:rich>
          </c:tx>
          <c:layout/>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925128"/>
        <c:crosses val="autoZero"/>
        <c:crossBetween val="between"/>
        <c:majorUnit val="200"/>
      </c:valAx>
      <c:spPr>
        <a:noFill/>
        <a:ln>
          <a:noFill/>
        </a:ln>
        <a:effectLst/>
      </c:spPr>
    </c:plotArea>
    <c:legend>
      <c:legendPos val="r"/>
      <c:layout>
        <c:manualLayout>
          <c:xMode val="edge"/>
          <c:yMode val="edge"/>
          <c:x val="0.7451841247116836"/>
          <c:y val="0.35265402679928176"/>
          <c:w val="0.25481587528831623"/>
          <c:h val="0.32393113689736153"/>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037037037037036"/>
          <c:y val="0.2013888888888889"/>
          <c:w val="0.81712962962962965"/>
          <c:h val="0.76136363636363624"/>
        </c:manualLayout>
      </c:layout>
      <c:ofPieChart>
        <c:ofPieType val="bar"/>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BB18-4EC1-8D1F-A1750332FC55}"/>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BB18-4EC1-8D1F-A1750332FC55}"/>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BB18-4EC1-8D1F-A1750332FC55}"/>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BB18-4EC1-8D1F-A1750332FC55}"/>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BB18-4EC1-8D1F-A1750332FC55}"/>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BB18-4EC1-8D1F-A1750332FC55}"/>
              </c:ext>
            </c:extLst>
          </c:dPt>
          <c:dPt>
            <c:idx val="6"/>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D-BB18-4EC1-8D1F-A1750332FC55}"/>
              </c:ext>
            </c:extLst>
          </c:dPt>
          <c:dPt>
            <c:idx val="7"/>
            <c:bubble3D val="0"/>
            <c:spPr>
              <a:solidFill>
                <a:schemeClr val="accent2">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F-BB18-4EC1-8D1F-A1750332FC55}"/>
              </c:ext>
            </c:extLst>
          </c:dPt>
          <c:dPt>
            <c:idx val="8"/>
            <c:bubble3D val="0"/>
            <c:spPr>
              <a:solidFill>
                <a:srgbClr val="92D050"/>
              </a:solidFill>
              <a:ln w="19050">
                <a:solidFill>
                  <a:schemeClr val="lt1"/>
                </a:solidFill>
              </a:ln>
              <a:effectLst/>
            </c:spPr>
            <c:extLst xmlns:c16r2="http://schemas.microsoft.com/office/drawing/2015/06/chart">
              <c:ext xmlns:c16="http://schemas.microsoft.com/office/drawing/2014/chart" uri="{C3380CC4-5D6E-409C-BE32-E72D297353CC}">
                <c16:uniqueId val="{00000011-BB18-4EC1-8D1F-A1750332FC55}"/>
              </c:ext>
            </c:extLst>
          </c:dPt>
          <c:dPt>
            <c:idx val="9"/>
            <c:bubble3D val="0"/>
            <c:spPr>
              <a:solidFill>
                <a:schemeClr val="accent4">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3-BB18-4EC1-8D1F-A1750332FC55}"/>
              </c:ext>
            </c:extLst>
          </c:dPt>
          <c:dPt>
            <c:idx val="10"/>
            <c:bubble3D val="0"/>
            <c:spPr>
              <a:solidFill>
                <a:schemeClr val="accent5">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5-BB18-4EC1-8D1F-A1750332FC55}"/>
              </c:ext>
            </c:extLst>
          </c:dPt>
          <c:dPt>
            <c:idx val="11"/>
            <c:bubble3D val="0"/>
            <c:spPr>
              <a:solidFill>
                <a:schemeClr val="accent6">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7-BB18-4EC1-8D1F-A1750332FC55}"/>
              </c:ext>
            </c:extLst>
          </c:dPt>
          <c:dPt>
            <c:idx val="12"/>
            <c:bubble3D val="0"/>
            <c:spPr>
              <a:solidFill>
                <a:schemeClr val="accent1">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9-BB18-4EC1-8D1F-A1750332FC55}"/>
              </c:ext>
            </c:extLst>
          </c:dPt>
          <c:dLbls>
            <c:dLbl>
              <c:idx val="0"/>
              <c:layout>
                <c:manualLayout>
                  <c:x val="-0.14583333333333334"/>
                  <c:y val="-0.17222222222222233"/>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BB18-4EC1-8D1F-A1750332FC55}"/>
                </c:ext>
                <c:ext xmlns:c15="http://schemas.microsoft.com/office/drawing/2012/chart" uri="{CE6537A1-D6FC-4f65-9D91-7224C49458BB}">
                  <c15:layout/>
                </c:ext>
              </c:extLst>
            </c:dLbl>
            <c:dLbl>
              <c:idx val="1"/>
              <c:layout>
                <c:manualLayout>
                  <c:x val="0.1076388888888889"/>
                  <c:y val="-2.2222222222222324E-2"/>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BB18-4EC1-8D1F-A1750332FC55}"/>
                </c:ext>
                <c:ext xmlns:c15="http://schemas.microsoft.com/office/drawing/2012/chart" uri="{CE6537A1-D6FC-4f65-9D91-7224C49458BB}">
                  <c15:layout/>
                </c:ext>
              </c:extLst>
            </c:dLbl>
            <c:dLbl>
              <c:idx val="2"/>
              <c:layout>
                <c:manualLayout>
                  <c:x val="7.7707513123359551E-2"/>
                  <c:y val="0.17130139982502193"/>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BB18-4EC1-8D1F-A1750332FC55}"/>
                </c:ext>
                <c:ext xmlns:c15="http://schemas.microsoft.com/office/drawing/2012/chart" uri="{CE6537A1-D6FC-4f65-9D91-7224C49458BB}">
                  <c15:layout/>
                </c:ext>
              </c:extLst>
            </c:dLbl>
            <c:dLbl>
              <c:idx val="6"/>
              <c:layout>
                <c:manualLayout>
                  <c:x val="-3.8416075650118314E-2"/>
                  <c:y val="-0.17489711934156379"/>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D-BB18-4EC1-8D1F-A1750332FC55}"/>
                </c:ext>
                <c:ext xmlns:c15="http://schemas.microsoft.com/office/drawing/2012/chart" uri="{CE6537A1-D6FC-4f65-9D91-7224C49458BB}">
                  <c15:layout/>
                </c:ext>
              </c:extLst>
            </c:dLbl>
            <c:dLbl>
              <c:idx val="8"/>
              <c:layout>
                <c:manualLayout>
                  <c:x val="-0.11458333333333333"/>
                  <c:y val="2.2222222222222223E-2"/>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11-BB18-4EC1-8D1F-A1750332FC55}"/>
                </c:ext>
                <c:ext xmlns:c15="http://schemas.microsoft.com/office/drawing/2012/chart" uri="{CE6537A1-D6FC-4f65-9D91-7224C49458BB}">
                  <c15:layout/>
                </c:ext>
              </c:extLst>
            </c:dLbl>
            <c:dLbl>
              <c:idx val="9"/>
              <c:layout>
                <c:manualLayout>
                  <c:x val="-7.1513013998250344E-2"/>
                  <c:y val="3.0041119860017496E-2"/>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13-BB18-4EC1-8D1F-A1750332FC55}"/>
                </c:ext>
                <c:ext xmlns:c15="http://schemas.microsoft.com/office/drawing/2012/chart" uri="{CE6537A1-D6FC-4f65-9D91-7224C49458BB}">
                  <c15:layout/>
                </c:ext>
              </c:extLst>
            </c:dLbl>
            <c:numFmt formatCode="0.0%" sourceLinked="0"/>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showLeaderLines val="1"/>
            <c:leaderLines>
              <c:spPr>
                <a:ln w="9525">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15:layout/>
              </c:ext>
            </c:extLst>
          </c:dLbls>
          <c:cat>
            <c:strRef>
              <c:f>'[DPR working file 2021.xlsx]Domestic Debt'!$A$43:$A$51</c:f>
              <c:strCache>
                <c:ptCount val="9"/>
                <c:pt idx="0">
                  <c:v>Social Security</c:v>
                </c:pt>
                <c:pt idx="1">
                  <c:v>Commercial Bank</c:v>
                </c:pt>
                <c:pt idx="2">
                  <c:v>Other Financial Corporations</c:v>
                </c:pt>
                <c:pt idx="3">
                  <c:v>Insurance Funds</c:v>
                </c:pt>
                <c:pt idx="4">
                  <c:v>Private</c:v>
                </c:pt>
                <c:pt idx="5">
                  <c:v>Central Government</c:v>
                </c:pt>
                <c:pt idx="6">
                  <c:v>Non-Financial Corporations</c:v>
                </c:pt>
                <c:pt idx="7">
                  <c:v>Development Bank</c:v>
                </c:pt>
                <c:pt idx="8">
                  <c:v>Monetary Authority</c:v>
                </c:pt>
              </c:strCache>
            </c:strRef>
          </c:cat>
          <c:val>
            <c:numRef>
              <c:f>'[DPR working file 2021.xlsx]Domestic Debt'!$B$43:$B$51</c:f>
              <c:numCache>
                <c:formatCode>0.00</c:formatCode>
                <c:ptCount val="9"/>
                <c:pt idx="0">
                  <c:v>558.75</c:v>
                </c:pt>
                <c:pt idx="1">
                  <c:v>506.21000000000004</c:v>
                </c:pt>
                <c:pt idx="2">
                  <c:v>361.54</c:v>
                </c:pt>
                <c:pt idx="3">
                  <c:v>182.53</c:v>
                </c:pt>
                <c:pt idx="4">
                  <c:v>115.09</c:v>
                </c:pt>
                <c:pt idx="5">
                  <c:v>33.76</c:v>
                </c:pt>
                <c:pt idx="6">
                  <c:v>16.95</c:v>
                </c:pt>
                <c:pt idx="7">
                  <c:v>5.14</c:v>
                </c:pt>
                <c:pt idx="8">
                  <c:v>54</c:v>
                </c:pt>
              </c:numCache>
            </c:numRef>
          </c:val>
          <c:extLst xmlns:c16r2="http://schemas.microsoft.com/office/drawing/2015/06/chart">
            <c:ext xmlns:c16="http://schemas.microsoft.com/office/drawing/2014/chart" uri="{C3380CC4-5D6E-409C-BE32-E72D297353CC}">
              <c16:uniqueId val="{0000001A-BB18-4EC1-8D1F-A1750332FC55}"/>
            </c:ext>
          </c:extLst>
        </c:ser>
        <c:dLbls>
          <c:dLblPos val="bestFit"/>
          <c:showLegendKey val="0"/>
          <c:showVal val="0"/>
          <c:showCatName val="1"/>
          <c:showSerName val="0"/>
          <c:showPercent val="1"/>
          <c:showBubbleSize val="0"/>
          <c:showLeaderLines val="1"/>
        </c:dLbls>
        <c:gapWidth val="100"/>
        <c:secondPieSize val="75"/>
        <c:serLines>
          <c:spPr>
            <a:ln w="9525">
              <a:solidFill>
                <a:schemeClr val="tx1">
                  <a:lumMod val="35000"/>
                  <a:lumOff val="65000"/>
                </a:schemeClr>
              </a:solidFill>
              <a:round/>
            </a:ln>
            <a:effectLst/>
          </c:spPr>
        </c:serLines>
      </c:ofPieChart>
      <c:spPr>
        <a:noFill/>
        <a:ln>
          <a:noFill/>
        </a:ln>
        <a:effectLst/>
      </c:spPr>
    </c:plotArea>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7252067281912345"/>
          <c:y val="0.1388888888888889"/>
          <c:w val="0.77819617305901279"/>
          <c:h val="0.64088075638272501"/>
        </c:manualLayout>
      </c:layout>
      <c:barChart>
        <c:barDir val="col"/>
        <c:grouping val="stacked"/>
        <c:varyColors val="0"/>
        <c:ser>
          <c:idx val="0"/>
          <c:order val="0"/>
          <c:tx>
            <c:strRef>
              <c:f>'[DPR working file 2021.xlsx]External Debt'!$A$2</c:f>
              <c:strCache>
                <c:ptCount val="1"/>
                <c:pt idx="0">
                  <c:v>Central Government Debt</c:v>
                </c:pt>
              </c:strCache>
            </c:strRef>
          </c:tx>
          <c:spPr>
            <a:solidFill>
              <a:schemeClr val="accent5">
                <a:lumMod val="60000"/>
                <a:lumOff val="40000"/>
              </a:schemeClr>
            </a:solidFill>
            <a:ln>
              <a:noFill/>
            </a:ln>
            <a:effectLst/>
          </c:spPr>
          <c:invertIfNegative val="0"/>
          <c:cat>
            <c:strRef>
              <c:f>'[DPR working file 2021.xlsx]External Debt'!$B$1:$F$1</c:f>
              <c:strCache>
                <c:ptCount val="5"/>
                <c:pt idx="0">
                  <c:v>2017</c:v>
                </c:pt>
                <c:pt idx="1">
                  <c:v>2018</c:v>
                </c:pt>
                <c:pt idx="2">
                  <c:v>2019</c:v>
                </c:pt>
                <c:pt idx="3">
                  <c:v>2020</c:v>
                </c:pt>
                <c:pt idx="4">
                  <c:v>2021</c:v>
                </c:pt>
              </c:strCache>
            </c:strRef>
          </c:cat>
          <c:val>
            <c:numRef>
              <c:f>'[DPR working file 2021.xlsx]External Debt'!$B$2:$F$2</c:f>
              <c:numCache>
                <c:formatCode>#,##0.00</c:formatCode>
                <c:ptCount val="5"/>
                <c:pt idx="0">
                  <c:v>1590.89</c:v>
                </c:pt>
                <c:pt idx="1">
                  <c:v>1580.484233853688</c:v>
                </c:pt>
                <c:pt idx="2">
                  <c:v>1640.5179370642986</c:v>
                </c:pt>
                <c:pt idx="3">
                  <c:v>1880.9570798553418</c:v>
                </c:pt>
                <c:pt idx="4">
                  <c:v>2174.4970700197719</c:v>
                </c:pt>
              </c:numCache>
            </c:numRef>
          </c:val>
          <c:extLst xmlns:c16r2="http://schemas.microsoft.com/office/drawing/2015/06/chart">
            <c:ext xmlns:c16="http://schemas.microsoft.com/office/drawing/2014/chart" uri="{C3380CC4-5D6E-409C-BE32-E72D297353CC}">
              <c16:uniqueId val="{00000000-2AB5-45B3-9199-FB4961249E33}"/>
            </c:ext>
          </c:extLst>
        </c:ser>
        <c:ser>
          <c:idx val="1"/>
          <c:order val="1"/>
          <c:tx>
            <c:strRef>
              <c:f>'[DPR working file 2021.xlsx]External Debt'!$A$3</c:f>
              <c:strCache>
                <c:ptCount val="1"/>
                <c:pt idx="0">
                  <c:v>Government Guaranteed Debt</c:v>
                </c:pt>
              </c:strCache>
            </c:strRef>
          </c:tx>
          <c:spPr>
            <a:solidFill>
              <a:schemeClr val="accent2"/>
            </a:solidFill>
            <a:ln>
              <a:noFill/>
            </a:ln>
            <a:effectLst/>
          </c:spPr>
          <c:invertIfNegative val="0"/>
          <c:cat>
            <c:strRef>
              <c:f>'[DPR working file 2021.xlsx]External Debt'!$B$1:$F$1</c:f>
              <c:strCache>
                <c:ptCount val="5"/>
                <c:pt idx="0">
                  <c:v>2017</c:v>
                </c:pt>
                <c:pt idx="1">
                  <c:v>2018</c:v>
                </c:pt>
                <c:pt idx="2">
                  <c:v>2019</c:v>
                </c:pt>
                <c:pt idx="3">
                  <c:v>2020</c:v>
                </c:pt>
                <c:pt idx="4">
                  <c:v>2021</c:v>
                </c:pt>
              </c:strCache>
            </c:strRef>
          </c:cat>
          <c:val>
            <c:numRef>
              <c:f>'[DPR working file 2021.xlsx]External Debt'!$B$3:$F$3</c:f>
              <c:numCache>
                <c:formatCode>#,##0.00</c:formatCode>
                <c:ptCount val="5"/>
                <c:pt idx="0">
                  <c:v>42.45</c:v>
                </c:pt>
                <c:pt idx="1">
                  <c:v>37.114549395426003</c:v>
                </c:pt>
                <c:pt idx="2">
                  <c:v>49.132498539636003</c:v>
                </c:pt>
                <c:pt idx="3">
                  <c:v>66.285406862999992</c:v>
                </c:pt>
                <c:pt idx="4">
                  <c:v>115.743282669</c:v>
                </c:pt>
              </c:numCache>
            </c:numRef>
          </c:val>
          <c:extLst xmlns:c16r2="http://schemas.microsoft.com/office/drawing/2015/06/chart">
            <c:ext xmlns:c16="http://schemas.microsoft.com/office/drawing/2014/chart" uri="{C3380CC4-5D6E-409C-BE32-E72D297353CC}">
              <c16:uniqueId val="{00000001-2AB5-45B3-9199-FB4961249E33}"/>
            </c:ext>
          </c:extLst>
        </c:ser>
        <c:dLbls>
          <c:showLegendKey val="0"/>
          <c:showVal val="0"/>
          <c:showCatName val="0"/>
          <c:showSerName val="0"/>
          <c:showPercent val="0"/>
          <c:showBubbleSize val="0"/>
        </c:dLbls>
        <c:gapWidth val="75"/>
        <c:overlap val="100"/>
        <c:axId val="289928264"/>
        <c:axId val="289926304"/>
      </c:barChart>
      <c:catAx>
        <c:axId val="289928264"/>
        <c:scaling>
          <c:orientation val="minMax"/>
        </c:scaling>
        <c:delete val="0"/>
        <c:axPos val="b"/>
        <c:numFmt formatCode="General" sourceLinked="1"/>
        <c:majorTickMark val="none"/>
        <c:minorTickMark val="none"/>
        <c:tickLblPos val="nextTo"/>
        <c:spPr>
          <a:noFill/>
          <a:ln w="9525">
            <a:no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926304"/>
        <c:crosses val="autoZero"/>
        <c:auto val="1"/>
        <c:lblAlgn val="ctr"/>
        <c:lblOffset val="100"/>
        <c:noMultiLvlLbl val="0"/>
      </c:catAx>
      <c:valAx>
        <c:axId val="289926304"/>
        <c:scaling>
          <c:orientation val="minMax"/>
          <c:max val="2500"/>
          <c:min val="0"/>
        </c:scaling>
        <c:delete val="0"/>
        <c:axPos val="l"/>
        <c:majorGridlines>
          <c:spPr>
            <a:ln w="9525">
              <a:no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Millions (XCD)</a:t>
                </a:r>
              </a:p>
            </c:rich>
          </c:tx>
          <c:layout/>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928264"/>
        <c:crosses val="autoZero"/>
        <c:crossBetween val="between"/>
        <c:majorUnit val="400"/>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629614117384263"/>
          <c:y val="0.14938271604938272"/>
          <c:w val="0.70964636734238007"/>
          <c:h val="0.73686610932892649"/>
        </c:manualLayout>
      </c:layout>
      <c:barChart>
        <c:barDir val="col"/>
        <c:grouping val="clustered"/>
        <c:varyColors val="0"/>
        <c:ser>
          <c:idx val="0"/>
          <c:order val="0"/>
          <c:tx>
            <c:strRef>
              <c:f>'[DPR working file 2021.xlsx]External Debt'!$A$48</c:f>
              <c:strCache>
                <c:ptCount val="1"/>
                <c:pt idx="0">
                  <c:v>USD</c:v>
                </c:pt>
              </c:strCache>
            </c:strRef>
          </c:tx>
          <c:spPr>
            <a:solidFill>
              <a:schemeClr val="accent1"/>
            </a:solidFill>
            <a:ln>
              <a:noFill/>
            </a:ln>
            <a:effectLst/>
          </c:spPr>
          <c:invertIfNegative val="0"/>
          <c:cat>
            <c:strRef>
              <c:f>'[DPR working file 2021.xlsx]External Debt'!$B$47:$F$47</c:f>
              <c:strCache>
                <c:ptCount val="5"/>
                <c:pt idx="0">
                  <c:v>2017</c:v>
                </c:pt>
                <c:pt idx="1">
                  <c:v>2018</c:v>
                </c:pt>
                <c:pt idx="2">
                  <c:v>2019</c:v>
                </c:pt>
                <c:pt idx="3">
                  <c:v>2020</c:v>
                </c:pt>
                <c:pt idx="4">
                  <c:v>2021</c:v>
                </c:pt>
              </c:strCache>
            </c:strRef>
          </c:cat>
          <c:val>
            <c:numRef>
              <c:f>'[DPR working file 2021.xlsx]External Debt'!$B$48:$F$48</c:f>
              <c:numCache>
                <c:formatCode>0.00</c:formatCode>
                <c:ptCount val="5"/>
                <c:pt idx="0">
                  <c:v>801.47823246700091</c:v>
                </c:pt>
                <c:pt idx="1">
                  <c:v>784.39829415942575</c:v>
                </c:pt>
                <c:pt idx="2" formatCode="[$$-409]#,##0.00">
                  <c:v>566.71444755300001</c:v>
                </c:pt>
                <c:pt idx="3" formatCode="[$$-409]#,##0.00">
                  <c:v>1017.2528606789992</c:v>
                </c:pt>
                <c:pt idx="4" formatCode="[$$-409]#,##0.00">
                  <c:v>1352.1621285630004</c:v>
                </c:pt>
              </c:numCache>
            </c:numRef>
          </c:val>
          <c:extLst xmlns:c16r2="http://schemas.microsoft.com/office/drawing/2015/06/chart">
            <c:ext xmlns:c16="http://schemas.microsoft.com/office/drawing/2014/chart" uri="{C3380CC4-5D6E-409C-BE32-E72D297353CC}">
              <c16:uniqueId val="{00000000-B1A2-4469-8DA1-BE1495AFE43E}"/>
            </c:ext>
          </c:extLst>
        </c:ser>
        <c:ser>
          <c:idx val="1"/>
          <c:order val="1"/>
          <c:tx>
            <c:strRef>
              <c:f>'[DPR working file 2021.xlsx]External Debt'!$A$49</c:f>
              <c:strCache>
                <c:ptCount val="1"/>
                <c:pt idx="0">
                  <c:v>XCD</c:v>
                </c:pt>
              </c:strCache>
            </c:strRef>
          </c:tx>
          <c:spPr>
            <a:solidFill>
              <a:schemeClr val="accent2"/>
            </a:solidFill>
            <a:ln>
              <a:noFill/>
            </a:ln>
            <a:effectLst/>
          </c:spPr>
          <c:invertIfNegative val="0"/>
          <c:cat>
            <c:strRef>
              <c:f>'[DPR working file 2021.xlsx]External Debt'!$B$47:$F$47</c:f>
              <c:strCache>
                <c:ptCount val="5"/>
                <c:pt idx="0">
                  <c:v>2017</c:v>
                </c:pt>
                <c:pt idx="1">
                  <c:v>2018</c:v>
                </c:pt>
                <c:pt idx="2">
                  <c:v>2019</c:v>
                </c:pt>
                <c:pt idx="3">
                  <c:v>2020</c:v>
                </c:pt>
                <c:pt idx="4">
                  <c:v>2021</c:v>
                </c:pt>
              </c:strCache>
            </c:strRef>
          </c:cat>
          <c:val>
            <c:numRef>
              <c:f>'[DPR working file 2021.xlsx]External Debt'!$B$49:$F$49</c:f>
              <c:numCache>
                <c:formatCode>0.00</c:formatCode>
                <c:ptCount val="5"/>
                <c:pt idx="0">
                  <c:v>552.97445432000006</c:v>
                </c:pt>
                <c:pt idx="1">
                  <c:v>567.45219317999999</c:v>
                </c:pt>
                <c:pt idx="2" formatCode="[$$-409]#,##0.00">
                  <c:v>869.43285473763649</c:v>
                </c:pt>
                <c:pt idx="3" formatCode="[$$-409]#,##0.00">
                  <c:v>577.53922579499988</c:v>
                </c:pt>
                <c:pt idx="4" formatCode="[$$-409]#,##0.00">
                  <c:v>579.80582240900014</c:v>
                </c:pt>
              </c:numCache>
            </c:numRef>
          </c:val>
          <c:extLst xmlns:c16r2="http://schemas.microsoft.com/office/drawing/2015/06/chart">
            <c:ext xmlns:c16="http://schemas.microsoft.com/office/drawing/2014/chart" uri="{C3380CC4-5D6E-409C-BE32-E72D297353CC}">
              <c16:uniqueId val="{00000001-B1A2-4469-8DA1-BE1495AFE43E}"/>
            </c:ext>
          </c:extLst>
        </c:ser>
        <c:ser>
          <c:idx val="2"/>
          <c:order val="2"/>
          <c:tx>
            <c:strRef>
              <c:f>'[DPR working file 2021.xlsx]External Debt'!$A$50</c:f>
              <c:strCache>
                <c:ptCount val="1"/>
                <c:pt idx="0">
                  <c:v>SDR</c:v>
                </c:pt>
              </c:strCache>
            </c:strRef>
          </c:tx>
          <c:spPr>
            <a:solidFill>
              <a:schemeClr val="accent3"/>
            </a:solidFill>
            <a:ln>
              <a:noFill/>
            </a:ln>
            <a:effectLst/>
          </c:spPr>
          <c:invertIfNegative val="0"/>
          <c:cat>
            <c:strRef>
              <c:f>'[DPR working file 2021.xlsx]External Debt'!$B$47:$F$47</c:f>
              <c:strCache>
                <c:ptCount val="5"/>
                <c:pt idx="0">
                  <c:v>2017</c:v>
                </c:pt>
                <c:pt idx="1">
                  <c:v>2018</c:v>
                </c:pt>
                <c:pt idx="2">
                  <c:v>2019</c:v>
                </c:pt>
                <c:pt idx="3">
                  <c:v>2020</c:v>
                </c:pt>
                <c:pt idx="4">
                  <c:v>2021</c:v>
                </c:pt>
              </c:strCache>
            </c:strRef>
          </c:cat>
          <c:val>
            <c:numRef>
              <c:f>'[DPR working file 2021.xlsx]External Debt'!$B$50:$F$50</c:f>
              <c:numCache>
                <c:formatCode>0.00</c:formatCode>
                <c:ptCount val="5"/>
                <c:pt idx="0">
                  <c:v>244.45545944439598</c:v>
                </c:pt>
                <c:pt idx="1">
                  <c:v>236.98617104489557</c:v>
                </c:pt>
                <c:pt idx="2" formatCode="[$$-409]#,##0.00">
                  <c:v>230.20501028656398</c:v>
                </c:pt>
                <c:pt idx="3" formatCode="[$$-409]#,##0.00">
                  <c:v>332.6609273436128</c:v>
                </c:pt>
                <c:pt idx="4" formatCode="[$$-409]#,##0.00">
                  <c:v>340.80025664919515</c:v>
                </c:pt>
              </c:numCache>
            </c:numRef>
          </c:val>
          <c:extLst xmlns:c16r2="http://schemas.microsoft.com/office/drawing/2015/06/chart">
            <c:ext xmlns:c16="http://schemas.microsoft.com/office/drawing/2014/chart" uri="{C3380CC4-5D6E-409C-BE32-E72D297353CC}">
              <c16:uniqueId val="{00000002-B1A2-4469-8DA1-BE1495AFE43E}"/>
            </c:ext>
          </c:extLst>
        </c:ser>
        <c:ser>
          <c:idx val="3"/>
          <c:order val="3"/>
          <c:tx>
            <c:strRef>
              <c:f>'[DPR working file 2021.xlsx]External Debt'!$A$51</c:f>
              <c:strCache>
                <c:ptCount val="1"/>
                <c:pt idx="0">
                  <c:v>KWD</c:v>
                </c:pt>
              </c:strCache>
            </c:strRef>
          </c:tx>
          <c:spPr>
            <a:solidFill>
              <a:schemeClr val="accent4"/>
            </a:solidFill>
            <a:ln>
              <a:noFill/>
            </a:ln>
            <a:effectLst/>
          </c:spPr>
          <c:invertIfNegative val="0"/>
          <c:cat>
            <c:strRef>
              <c:f>'[DPR working file 2021.xlsx]External Debt'!$B$47:$F$47</c:f>
              <c:strCache>
                <c:ptCount val="5"/>
                <c:pt idx="0">
                  <c:v>2017</c:v>
                </c:pt>
                <c:pt idx="1">
                  <c:v>2018</c:v>
                </c:pt>
                <c:pt idx="2">
                  <c:v>2019</c:v>
                </c:pt>
                <c:pt idx="3">
                  <c:v>2020</c:v>
                </c:pt>
                <c:pt idx="4">
                  <c:v>2021</c:v>
                </c:pt>
              </c:strCache>
            </c:strRef>
          </c:cat>
          <c:val>
            <c:numRef>
              <c:f>'[DPR working file 2021.xlsx]External Debt'!$B$51:$F$51</c:f>
              <c:numCache>
                <c:formatCode>0.00</c:formatCode>
                <c:ptCount val="5"/>
                <c:pt idx="0">
                  <c:v>22.351530534481</c:v>
                </c:pt>
                <c:pt idx="1">
                  <c:v>19.513958910016999</c:v>
                </c:pt>
                <c:pt idx="2" formatCode="[$$-409]#,##0.00">
                  <c:v>16.512019490736002</c:v>
                </c:pt>
                <c:pt idx="3" formatCode="[$$-409]#,##0.00">
                  <c:v>14.830423760927999</c:v>
                </c:pt>
                <c:pt idx="4" formatCode="[$$-409]#,##0.00">
                  <c:v>12.711474870003</c:v>
                </c:pt>
              </c:numCache>
            </c:numRef>
          </c:val>
          <c:extLst xmlns:c16r2="http://schemas.microsoft.com/office/drawing/2015/06/chart">
            <c:ext xmlns:c16="http://schemas.microsoft.com/office/drawing/2014/chart" uri="{C3380CC4-5D6E-409C-BE32-E72D297353CC}">
              <c16:uniqueId val="{00000003-B1A2-4469-8DA1-BE1495AFE43E}"/>
            </c:ext>
          </c:extLst>
        </c:ser>
        <c:ser>
          <c:idx val="4"/>
          <c:order val="4"/>
          <c:tx>
            <c:strRef>
              <c:f>'[DPR working file 2021.xlsx]External Debt'!$A$52</c:f>
              <c:strCache>
                <c:ptCount val="1"/>
                <c:pt idx="0">
                  <c:v>EUR</c:v>
                </c:pt>
              </c:strCache>
            </c:strRef>
          </c:tx>
          <c:spPr>
            <a:solidFill>
              <a:schemeClr val="accent5"/>
            </a:solidFill>
            <a:ln>
              <a:noFill/>
            </a:ln>
            <a:effectLst/>
          </c:spPr>
          <c:invertIfNegative val="0"/>
          <c:cat>
            <c:strRef>
              <c:f>'[DPR working file 2021.xlsx]External Debt'!$B$47:$F$47</c:f>
              <c:strCache>
                <c:ptCount val="5"/>
                <c:pt idx="0">
                  <c:v>2017</c:v>
                </c:pt>
                <c:pt idx="1">
                  <c:v>2018</c:v>
                </c:pt>
                <c:pt idx="2">
                  <c:v>2019</c:v>
                </c:pt>
                <c:pt idx="3">
                  <c:v>2020</c:v>
                </c:pt>
                <c:pt idx="4">
                  <c:v>2021</c:v>
                </c:pt>
              </c:strCache>
            </c:strRef>
          </c:cat>
          <c:val>
            <c:numRef>
              <c:f>'[DPR working file 2021.xlsx]External Debt'!$B$52:$F$52</c:f>
              <c:numCache>
                <c:formatCode>0.00</c:formatCode>
                <c:ptCount val="5"/>
                <c:pt idx="0">
                  <c:v>12.08045311439</c:v>
                </c:pt>
                <c:pt idx="1">
                  <c:v>9.2481659547760007</c:v>
                </c:pt>
                <c:pt idx="2" formatCode="[$$-409]#,##0.00">
                  <c:v>6.7861035360000015</c:v>
                </c:pt>
                <c:pt idx="3" formatCode="[$$-409]#,##0.00">
                  <c:v>4.959049139800201</c:v>
                </c:pt>
                <c:pt idx="4" formatCode="[$$-409]#,##0.00">
                  <c:v>4.7573875285727008</c:v>
                </c:pt>
              </c:numCache>
            </c:numRef>
          </c:val>
          <c:extLst xmlns:c16r2="http://schemas.microsoft.com/office/drawing/2015/06/chart">
            <c:ext xmlns:c16="http://schemas.microsoft.com/office/drawing/2014/chart" uri="{C3380CC4-5D6E-409C-BE32-E72D297353CC}">
              <c16:uniqueId val="{00000004-B1A2-4469-8DA1-BE1495AFE43E}"/>
            </c:ext>
          </c:extLst>
        </c:ser>
        <c:dLbls>
          <c:showLegendKey val="0"/>
          <c:showVal val="0"/>
          <c:showCatName val="0"/>
          <c:showSerName val="0"/>
          <c:showPercent val="0"/>
          <c:showBubbleSize val="0"/>
        </c:dLbls>
        <c:gapWidth val="150"/>
        <c:axId val="289922384"/>
        <c:axId val="289923952"/>
      </c:barChart>
      <c:catAx>
        <c:axId val="289922384"/>
        <c:scaling>
          <c:orientation val="minMax"/>
        </c:scaling>
        <c:delete val="0"/>
        <c:axPos val="b"/>
        <c:numFmt formatCode="General" sourceLinked="1"/>
        <c:majorTickMark val="none"/>
        <c:minorTickMark val="none"/>
        <c:tickLblPos val="nextTo"/>
        <c:spPr>
          <a:noFill/>
          <a:ln w="9525">
            <a:no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923952"/>
        <c:crosses val="autoZero"/>
        <c:auto val="1"/>
        <c:lblAlgn val="ctr"/>
        <c:lblOffset val="100"/>
        <c:noMultiLvlLbl val="0"/>
      </c:catAx>
      <c:valAx>
        <c:axId val="289923952"/>
        <c:scaling>
          <c:orientation val="minMax"/>
          <c:max val="1500"/>
          <c:min val="0"/>
        </c:scaling>
        <c:delete val="0"/>
        <c:axPos val="l"/>
        <c:majorGridlines>
          <c:spPr>
            <a:ln w="9525">
              <a:no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Millions (XCD)</a:t>
                </a:r>
              </a:p>
            </c:rich>
          </c:tx>
          <c:layout>
            <c:manualLayout>
              <c:xMode val="edge"/>
              <c:yMode val="edge"/>
              <c:x val="8.9605734767025085E-3"/>
              <c:y val="0.45166177144523595"/>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922384"/>
        <c:crosses val="autoZero"/>
        <c:crossBetween val="between"/>
        <c:majorUnit val="300"/>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1487245734908136"/>
          <c:y val="0.18518518518518517"/>
          <c:w val="0.77644698709536319"/>
          <c:h val="0.5227794442361372"/>
        </c:manualLayout>
      </c:layout>
      <c:lineChart>
        <c:grouping val="standard"/>
        <c:varyColors val="0"/>
        <c:ser>
          <c:idx val="0"/>
          <c:order val="0"/>
          <c:tx>
            <c:strRef>
              <c:f>'[DPR working file 2021.xlsx]External Debt'!$A$37</c:f>
              <c:strCache>
                <c:ptCount val="1"/>
                <c:pt idx="0">
                  <c:v>% Fixed Rate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numFmt formatCode="#,##0.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1">
                          <a:lumMod val="35000"/>
                          <a:lumOff val="65000"/>
                        </a:schemeClr>
                      </a:solidFill>
                      <a:round/>
                    </a:ln>
                    <a:effectLst/>
                  </c:spPr>
                </c15:leaderLines>
              </c:ext>
            </c:extLst>
          </c:dLbls>
          <c:cat>
            <c:strRef>
              <c:f>'[DPR working file 2021.xlsx]External Debt'!$B$36:$F$36</c:f>
              <c:strCache>
                <c:ptCount val="5"/>
                <c:pt idx="0">
                  <c:v>2017</c:v>
                </c:pt>
                <c:pt idx="1">
                  <c:v>2018</c:v>
                </c:pt>
                <c:pt idx="2">
                  <c:v>2019</c:v>
                </c:pt>
                <c:pt idx="3">
                  <c:v>2020</c:v>
                </c:pt>
                <c:pt idx="4">
                  <c:v>2021</c:v>
                </c:pt>
              </c:strCache>
            </c:strRef>
          </c:cat>
          <c:val>
            <c:numRef>
              <c:f>'[DPR working file 2021.xlsx]External Debt'!$B$37:$F$37</c:f>
              <c:numCache>
                <c:formatCode>0.0</c:formatCode>
                <c:ptCount val="5"/>
                <c:pt idx="0">
                  <c:v>82.92532963641132</c:v>
                </c:pt>
                <c:pt idx="1">
                  <c:v>83.571433246512129</c:v>
                </c:pt>
                <c:pt idx="2">
                  <c:v>84.547372047211937</c:v>
                </c:pt>
                <c:pt idx="3">
                  <c:v>88.9</c:v>
                </c:pt>
                <c:pt idx="4">
                  <c:v>68.099999999999994</c:v>
                </c:pt>
              </c:numCache>
            </c:numRef>
          </c:val>
          <c:smooth val="0"/>
          <c:extLst xmlns:c16r2="http://schemas.microsoft.com/office/drawing/2015/06/chart">
            <c:ext xmlns:c16="http://schemas.microsoft.com/office/drawing/2014/chart" uri="{C3380CC4-5D6E-409C-BE32-E72D297353CC}">
              <c16:uniqueId val="{00000000-0909-48FA-AFAC-C59E82C4CFE0}"/>
            </c:ext>
          </c:extLst>
        </c:ser>
        <c:ser>
          <c:idx val="1"/>
          <c:order val="1"/>
          <c:tx>
            <c:strRef>
              <c:f>'[DPR working file 2021.xlsx]External Debt'!$A$38</c:f>
              <c:strCache>
                <c:ptCount val="1"/>
                <c:pt idx="0">
                  <c:v>% Variable Rate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numFmt formatCode="#,##0.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1">
                          <a:lumMod val="35000"/>
                          <a:lumOff val="65000"/>
                        </a:schemeClr>
                      </a:solidFill>
                      <a:round/>
                    </a:ln>
                    <a:effectLst/>
                  </c:spPr>
                </c15:leaderLines>
              </c:ext>
            </c:extLst>
          </c:dLbls>
          <c:cat>
            <c:strRef>
              <c:f>'[DPR working file 2021.xlsx]External Debt'!$B$36:$F$36</c:f>
              <c:strCache>
                <c:ptCount val="5"/>
                <c:pt idx="0">
                  <c:v>2017</c:v>
                </c:pt>
                <c:pt idx="1">
                  <c:v>2018</c:v>
                </c:pt>
                <c:pt idx="2">
                  <c:v>2019</c:v>
                </c:pt>
                <c:pt idx="3">
                  <c:v>2020</c:v>
                </c:pt>
                <c:pt idx="4">
                  <c:v>2021</c:v>
                </c:pt>
              </c:strCache>
            </c:strRef>
          </c:cat>
          <c:val>
            <c:numRef>
              <c:f>'[DPR working file 2021.xlsx]External Debt'!$B$38:$F$38</c:f>
              <c:numCache>
                <c:formatCode>0.0</c:formatCode>
                <c:ptCount val="5"/>
                <c:pt idx="0">
                  <c:v>17.074670363588684</c:v>
                </c:pt>
                <c:pt idx="1">
                  <c:v>16.428566753487889</c:v>
                </c:pt>
                <c:pt idx="2">
                  <c:v>15.452627952788053</c:v>
                </c:pt>
                <c:pt idx="3">
                  <c:v>11.1</c:v>
                </c:pt>
                <c:pt idx="4">
                  <c:v>25.8</c:v>
                </c:pt>
              </c:numCache>
            </c:numRef>
          </c:val>
          <c:smooth val="0"/>
          <c:extLst xmlns:c16r2="http://schemas.microsoft.com/office/drawing/2015/06/chart">
            <c:ext xmlns:c16="http://schemas.microsoft.com/office/drawing/2014/chart" uri="{C3380CC4-5D6E-409C-BE32-E72D297353CC}">
              <c16:uniqueId val="{00000001-0909-48FA-AFAC-C59E82C4CFE0}"/>
            </c:ext>
          </c:extLst>
        </c:ser>
        <c:ser>
          <c:idx val="2"/>
          <c:order val="2"/>
          <c:tx>
            <c:strRef>
              <c:f>'[DPR working file 2021.xlsx]External Debt'!$A$39</c:f>
              <c:strCache>
                <c:ptCount val="1"/>
                <c:pt idx="0">
                  <c:v>% Interest Free</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1">
                          <a:lumMod val="35000"/>
                          <a:lumOff val="65000"/>
                        </a:schemeClr>
                      </a:solidFill>
                      <a:round/>
                    </a:ln>
                    <a:effectLst/>
                  </c:spPr>
                </c15:leaderLines>
              </c:ext>
            </c:extLst>
          </c:dLbls>
          <c:cat>
            <c:strRef>
              <c:f>'[DPR working file 2021.xlsx]External Debt'!$B$36:$F$36</c:f>
              <c:strCache>
                <c:ptCount val="5"/>
                <c:pt idx="0">
                  <c:v>2017</c:v>
                </c:pt>
                <c:pt idx="1">
                  <c:v>2018</c:v>
                </c:pt>
                <c:pt idx="2">
                  <c:v>2019</c:v>
                </c:pt>
                <c:pt idx="3">
                  <c:v>2020</c:v>
                </c:pt>
                <c:pt idx="4">
                  <c:v>2021</c:v>
                </c:pt>
              </c:strCache>
            </c:strRef>
          </c:cat>
          <c:val>
            <c:numRef>
              <c:f>'[DPR working file 2021.xlsx]External Debt'!$B$39:$F$39</c:f>
              <c:numCache>
                <c:formatCode>0.0</c:formatCode>
                <c:ptCount val="5"/>
                <c:pt idx="0">
                  <c:v>0</c:v>
                </c:pt>
                <c:pt idx="1">
                  <c:v>1.35</c:v>
                </c:pt>
                <c:pt idx="2">
                  <c:v>0.54</c:v>
                </c:pt>
                <c:pt idx="3">
                  <c:v>5.2</c:v>
                </c:pt>
                <c:pt idx="4">
                  <c:v>6.1</c:v>
                </c:pt>
              </c:numCache>
            </c:numRef>
          </c:val>
          <c:smooth val="0"/>
          <c:extLst xmlns:c16r2="http://schemas.microsoft.com/office/drawing/2015/06/chart">
            <c:ext xmlns:c16="http://schemas.microsoft.com/office/drawing/2014/chart" uri="{C3380CC4-5D6E-409C-BE32-E72D297353CC}">
              <c16:uniqueId val="{00000000-CFAB-4E94-8053-D0B2DFB423D1}"/>
            </c:ext>
          </c:extLst>
        </c:ser>
        <c:dLbls>
          <c:dLblPos val="ctr"/>
          <c:showLegendKey val="0"/>
          <c:showVal val="1"/>
          <c:showCatName val="0"/>
          <c:showSerName val="0"/>
          <c:showPercent val="0"/>
          <c:showBubbleSize val="0"/>
        </c:dLbls>
        <c:marker val="1"/>
        <c:smooth val="0"/>
        <c:axId val="289923168"/>
        <c:axId val="289923560"/>
      </c:lineChart>
      <c:catAx>
        <c:axId val="289923168"/>
        <c:scaling>
          <c:orientation val="minMax"/>
        </c:scaling>
        <c:delete val="0"/>
        <c:axPos val="b"/>
        <c:numFmt formatCode="General" sourceLinked="1"/>
        <c:majorTickMark val="none"/>
        <c:minorTickMark val="none"/>
        <c:tickLblPos val="nextTo"/>
        <c:spPr>
          <a:noFill/>
          <a:ln w="25400">
            <a:no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923560"/>
        <c:crosses val="autoZero"/>
        <c:auto val="1"/>
        <c:lblAlgn val="ctr"/>
        <c:lblOffset val="100"/>
        <c:noMultiLvlLbl val="0"/>
      </c:catAx>
      <c:valAx>
        <c:axId val="289923560"/>
        <c:scaling>
          <c:orientation val="minMax"/>
        </c:scaling>
        <c:delete val="0"/>
        <c:axPos val="l"/>
        <c:majorGridlines>
          <c:spPr>
            <a:ln w="9525">
              <a:no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 of Erxternal Debt Portfolio</a:t>
                </a:r>
              </a:p>
            </c:rich>
          </c:tx>
          <c:layout>
            <c:manualLayout>
              <c:xMode val="edge"/>
              <c:yMode val="edge"/>
              <c:x val="3.90625E-2"/>
              <c:y val="7.2751322751322747E-2"/>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0" sourceLinked="0"/>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89923168"/>
        <c:crosses val="autoZero"/>
        <c:crossBetween val="between"/>
        <c:majorUnit val="20"/>
      </c:valAx>
      <c:spPr>
        <a:noFill/>
        <a:ln>
          <a:noFill/>
        </a:ln>
        <a:effectLst/>
      </c:spPr>
    </c:plotArea>
    <c:legend>
      <c:legendPos val="b"/>
      <c:layout>
        <c:manualLayout>
          <c:xMode val="edge"/>
          <c:yMode val="edge"/>
          <c:x val="0.17306738024934384"/>
          <c:y val="0.81453359996667085"/>
          <c:w val="0.77495264327329694"/>
          <c:h val="0.18546640003332918"/>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7067901234567895E-2"/>
          <c:y val="0.16087962962962959"/>
          <c:w val="0.93672839506172845"/>
          <c:h val="0.79861111111111116"/>
        </c:manualLayout>
      </c:layout>
      <c:ofPieChart>
        <c:ofPieType val="bar"/>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2926-4470-A31B-7D73045EBB75}"/>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2926-4470-A31B-7D73045EBB75}"/>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2926-4470-A31B-7D73045EBB75}"/>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2926-4470-A31B-7D73045EBB75}"/>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2926-4470-A31B-7D73045EBB75}"/>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2926-4470-A31B-7D73045EBB75}"/>
              </c:ext>
            </c:extLst>
          </c:dPt>
          <c:dPt>
            <c:idx val="6"/>
            <c:bubble3D val="0"/>
            <c:spPr>
              <a:solidFill>
                <a:schemeClr val="accent1">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D-2926-4470-A31B-7D73045EBB75}"/>
              </c:ext>
            </c:extLst>
          </c:dPt>
          <c:dPt>
            <c:idx val="7"/>
            <c:bubble3D val="0"/>
            <c:spPr>
              <a:solidFill>
                <a:schemeClr val="accent2">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F-2926-4470-A31B-7D73045EBB75}"/>
              </c:ext>
            </c:extLst>
          </c:dPt>
          <c:dPt>
            <c:idx val="8"/>
            <c:bubble3D val="0"/>
            <c:spPr>
              <a:solidFill>
                <a:srgbClr val="C0504D">
                  <a:lumMod val="20000"/>
                  <a:lumOff val="80000"/>
                </a:srgbClr>
              </a:solidFill>
              <a:ln w="19050">
                <a:solidFill>
                  <a:schemeClr val="lt1"/>
                </a:solidFill>
              </a:ln>
              <a:effectLst/>
            </c:spPr>
            <c:extLst xmlns:c16r2="http://schemas.microsoft.com/office/drawing/2015/06/chart">
              <c:ext xmlns:c16="http://schemas.microsoft.com/office/drawing/2014/chart" uri="{C3380CC4-5D6E-409C-BE32-E72D297353CC}">
                <c16:uniqueId val="{00000011-2926-4470-A31B-7D73045EBB75}"/>
              </c:ext>
            </c:extLst>
          </c:dPt>
          <c:dPt>
            <c:idx val="9"/>
            <c:bubble3D val="0"/>
            <c:spPr>
              <a:solidFill>
                <a:schemeClr val="accent4">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3-2926-4470-A31B-7D73045EBB75}"/>
              </c:ext>
            </c:extLst>
          </c:dPt>
          <c:dPt>
            <c:idx val="10"/>
            <c:bubble3D val="0"/>
            <c:spPr>
              <a:solidFill>
                <a:srgbClr val="4F81BD">
                  <a:lumMod val="20000"/>
                  <a:lumOff val="80000"/>
                </a:srgbClr>
              </a:solidFill>
              <a:ln w="19050">
                <a:solidFill>
                  <a:schemeClr val="lt1"/>
                </a:solidFill>
              </a:ln>
              <a:effectLst/>
            </c:spPr>
            <c:extLst xmlns:c16r2="http://schemas.microsoft.com/office/drawing/2015/06/chart">
              <c:ext xmlns:c16="http://schemas.microsoft.com/office/drawing/2014/chart" uri="{C3380CC4-5D6E-409C-BE32-E72D297353CC}">
                <c16:uniqueId val="{00000015-2926-4470-A31B-7D73045EBB75}"/>
              </c:ext>
            </c:extLst>
          </c:dPt>
          <c:dPt>
            <c:idx val="11"/>
            <c:bubble3D val="0"/>
            <c:spPr>
              <a:solidFill>
                <a:sysClr val="window" lastClr="FFFFFF">
                  <a:lumMod val="85000"/>
                </a:sysClr>
              </a:solidFill>
              <a:ln w="19050">
                <a:solidFill>
                  <a:schemeClr val="lt1"/>
                </a:solidFill>
              </a:ln>
              <a:effectLst/>
            </c:spPr>
            <c:extLst xmlns:c16r2="http://schemas.microsoft.com/office/drawing/2015/06/chart">
              <c:ext xmlns:c16="http://schemas.microsoft.com/office/drawing/2014/chart" uri="{C3380CC4-5D6E-409C-BE32-E72D297353CC}">
                <c16:uniqueId val="{00000017-2926-4470-A31B-7D73045EBB75}"/>
              </c:ext>
            </c:extLst>
          </c:dPt>
          <c:dPt>
            <c:idx val="12"/>
            <c:bubble3D val="0"/>
            <c:spPr>
              <a:solidFill>
                <a:schemeClr val="accent1">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9-2926-4470-A31B-7D73045EBB75}"/>
              </c:ext>
            </c:extLst>
          </c:dPt>
          <c:dLbls>
            <c:dLbl>
              <c:idx val="3"/>
              <c:layout>
                <c:manualLayout>
                  <c:x val="-3.8638876737630015E-2"/>
                  <c:y val="9.9826388888888895E-2"/>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7-2926-4470-A31B-7D73045EBB75}"/>
                </c:ext>
                <c:ext xmlns:c15="http://schemas.microsoft.com/office/drawing/2012/chart" uri="{CE6537A1-D6FC-4f65-9D91-7224C49458BB}">
                  <c15:layout/>
                </c:ext>
              </c:extLst>
            </c:dLbl>
            <c:dLbl>
              <c:idx val="8"/>
              <c:layout>
                <c:manualLayout>
                  <c:x val="-2.1929824561403508E-2"/>
                  <c:y val="-5.0993162891675575E-2"/>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11-2926-4470-A31B-7D73045EBB75}"/>
                </c:ext>
                <c:ext xmlns:c15="http://schemas.microsoft.com/office/drawing/2012/chart" uri="{CE6537A1-D6FC-4f65-9D91-7224C49458BB}">
                  <c15:layout/>
                </c:ext>
              </c:extLst>
            </c:dLbl>
            <c:dLbl>
              <c:idx val="9"/>
              <c:layout>
                <c:manualLayout>
                  <c:x val="-6.0509927578497276E-2"/>
                  <c:y val="5.7870370370370367E-3"/>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13-2926-4470-A31B-7D73045EBB75}"/>
                </c:ext>
                <c:ext xmlns:c15="http://schemas.microsoft.com/office/drawing/2012/chart" uri="{CE6537A1-D6FC-4f65-9D91-7224C49458BB}">
                  <c15:layout/>
                </c:ext>
              </c:extLst>
            </c:dLbl>
            <c:dLbl>
              <c:idx val="10"/>
              <c:layout>
                <c:manualLayout>
                  <c:x val="-2.7006172839506171E-2"/>
                  <c:y val="-1.060944534001666E-16"/>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15-2926-4470-A31B-7D73045EBB75}"/>
                </c:ext>
                <c:ext xmlns:c15="http://schemas.microsoft.com/office/drawing/2012/chart" uri="{CE6537A1-D6FC-4f65-9D91-7224C49458BB}">
                  <c15:layout/>
                </c:ext>
              </c:extLst>
            </c:dLbl>
            <c:dLbl>
              <c:idx val="11"/>
              <c:layout>
                <c:manualLayout>
                  <c:x val="-1.3401404640021045E-16"/>
                  <c:y val="6.0386473429951688E-2"/>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17-2926-4470-A31B-7D73045EBB75}"/>
                </c:ext>
                <c:ext xmlns:c15="http://schemas.microsoft.com/office/drawing/2012/chart" uri="{CE6537A1-D6FC-4f65-9D91-7224C49458BB}">
                  <c15:layout/>
                </c:ext>
              </c:extLst>
            </c:dLbl>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showLeaderLines val="1"/>
            <c:leaderLines>
              <c:spPr>
                <a:ln w="9525">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15:layout/>
              </c:ext>
            </c:extLst>
          </c:dLbls>
          <c:cat>
            <c:strRef>
              <c:f>'[DPR working file 2021.xlsx]External Debt'!$A$19:$A$30</c:f>
              <c:strCache>
                <c:ptCount val="12"/>
                <c:pt idx="0">
                  <c:v>Multilateral</c:v>
                </c:pt>
                <c:pt idx="1">
                  <c:v>Bilateral</c:v>
                </c:pt>
                <c:pt idx="2">
                  <c:v>Insurance Funds</c:v>
                </c:pt>
                <c:pt idx="3">
                  <c:v>Commercial Banks</c:v>
                </c:pt>
                <c:pt idx="4">
                  <c:v>Other Financial Corporations</c:v>
                </c:pt>
                <c:pt idx="5">
                  <c:v>Private</c:v>
                </c:pt>
                <c:pt idx="6">
                  <c:v>Social Security</c:v>
                </c:pt>
                <c:pt idx="7">
                  <c:v>Non-Financial Corporations</c:v>
                </c:pt>
                <c:pt idx="8">
                  <c:v>Public Corporation</c:v>
                </c:pt>
                <c:pt idx="9">
                  <c:v>Monetary Authority/Central Banks</c:v>
                </c:pt>
                <c:pt idx="10">
                  <c:v>NPISH</c:v>
                </c:pt>
                <c:pt idx="11">
                  <c:v>Central Government</c:v>
                </c:pt>
              </c:strCache>
            </c:strRef>
          </c:cat>
          <c:val>
            <c:numRef>
              <c:f>'[DPR working file 2021.xlsx]External Debt'!$B$19:$B$30</c:f>
              <c:numCache>
                <c:formatCode>0.0</c:formatCode>
                <c:ptCount val="12"/>
                <c:pt idx="0">
                  <c:v>1080.24</c:v>
                </c:pt>
                <c:pt idx="1">
                  <c:v>318.74</c:v>
                </c:pt>
                <c:pt idx="2">
                  <c:v>234.99</c:v>
                </c:pt>
                <c:pt idx="3">
                  <c:v>214.19</c:v>
                </c:pt>
                <c:pt idx="4">
                  <c:v>164.6</c:v>
                </c:pt>
                <c:pt idx="5">
                  <c:v>93.25</c:v>
                </c:pt>
                <c:pt idx="6">
                  <c:v>60.23</c:v>
                </c:pt>
                <c:pt idx="7">
                  <c:v>50.95</c:v>
                </c:pt>
                <c:pt idx="8">
                  <c:v>43.25</c:v>
                </c:pt>
                <c:pt idx="9">
                  <c:v>13.7</c:v>
                </c:pt>
                <c:pt idx="10">
                  <c:v>9.1</c:v>
                </c:pt>
                <c:pt idx="11">
                  <c:v>7</c:v>
                </c:pt>
              </c:numCache>
            </c:numRef>
          </c:val>
          <c:extLst xmlns:c16r2="http://schemas.microsoft.com/office/drawing/2015/06/chart">
            <c:ext xmlns:c16="http://schemas.microsoft.com/office/drawing/2014/chart" uri="{C3380CC4-5D6E-409C-BE32-E72D297353CC}">
              <c16:uniqueId val="{0000001A-2926-4470-A31B-7D73045EBB75}"/>
            </c:ext>
          </c:extLst>
        </c:ser>
        <c:dLbls>
          <c:dLblPos val="bestFit"/>
          <c:showLegendKey val="0"/>
          <c:showVal val="0"/>
          <c:showCatName val="1"/>
          <c:showSerName val="0"/>
          <c:showPercent val="1"/>
          <c:showBubbleSize val="0"/>
          <c:showLeaderLines val="1"/>
        </c:dLbls>
        <c:gapWidth val="100"/>
        <c:secondPieSize val="100"/>
        <c:serLines>
          <c:spPr>
            <a:ln w="9525">
              <a:solidFill>
                <a:schemeClr val="tx1">
                  <a:lumMod val="35000"/>
                  <a:lumOff val="65000"/>
                </a:schemeClr>
              </a:solidFill>
              <a:round/>
            </a:ln>
            <a:effectLst/>
          </c:spPr>
        </c:serLines>
      </c:ofPieChart>
      <c:spPr>
        <a:noFill/>
        <a:ln>
          <a:noFill/>
        </a:ln>
        <a:effectLst/>
      </c:spPr>
    </c:plotArea>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094522724133166"/>
          <c:y val="0.13227513227513227"/>
          <c:w val="0.579492448312382"/>
          <c:h val="0.76552097654459861"/>
        </c:manualLayout>
      </c:layout>
      <c:barChart>
        <c:barDir val="col"/>
        <c:grouping val="clustered"/>
        <c:varyColors val="0"/>
        <c:ser>
          <c:idx val="0"/>
          <c:order val="0"/>
          <c:tx>
            <c:strRef>
              <c:f>'[DPR working file 2021.xlsx]External Debt'!$A$63</c:f>
              <c:strCache>
                <c:ptCount val="1"/>
                <c:pt idx="0">
                  <c:v>Loans</c:v>
                </c:pt>
              </c:strCache>
            </c:strRef>
          </c:tx>
          <c:spPr>
            <a:solidFill>
              <a:schemeClr val="accent1"/>
            </a:solidFill>
            <a:ln>
              <a:noFill/>
            </a:ln>
            <a:effectLst/>
          </c:spPr>
          <c:invertIfNegative val="0"/>
          <c:dPt>
            <c:idx val="0"/>
            <c:invertIfNegative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394E-415F-AEA4-5D30467F603E}"/>
              </c:ext>
            </c:extLst>
          </c:dPt>
          <c:dPt>
            <c:idx val="1"/>
            <c:invertIfNegative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3-394E-415F-AEA4-5D30467F603E}"/>
              </c:ext>
            </c:extLst>
          </c:dPt>
          <c:dPt>
            <c:idx val="2"/>
            <c:invertIfNegative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5-394E-415F-AEA4-5D30467F603E}"/>
              </c:ext>
            </c:extLst>
          </c:dPt>
          <c:cat>
            <c:strRef>
              <c:f>'[DPR working file 2021.xlsx]External Debt'!$B$62:$F$62</c:f>
              <c:strCache>
                <c:ptCount val="5"/>
                <c:pt idx="0">
                  <c:v>2017</c:v>
                </c:pt>
                <c:pt idx="1">
                  <c:v>2018</c:v>
                </c:pt>
                <c:pt idx="2">
                  <c:v>2019</c:v>
                </c:pt>
                <c:pt idx="3">
                  <c:v>2020</c:v>
                </c:pt>
                <c:pt idx="4">
                  <c:v>2021</c:v>
                </c:pt>
              </c:strCache>
            </c:strRef>
          </c:cat>
          <c:val>
            <c:numRef>
              <c:f>'[DPR working file 2021.xlsx]External Debt'!$B$63:$F$63</c:f>
              <c:numCache>
                <c:formatCode>#,##0.00</c:formatCode>
                <c:ptCount val="5"/>
                <c:pt idx="0">
                  <c:v>714.18</c:v>
                </c:pt>
                <c:pt idx="1">
                  <c:v>677.86737463911436</c:v>
                </c:pt>
                <c:pt idx="2" formatCode="0.00">
                  <c:v>754.09880133593583</c:v>
                </c:pt>
                <c:pt idx="3">
                  <c:v>1055.592859749341</c:v>
                </c:pt>
                <c:pt idx="4" formatCode="[$$-409]#,##0.00">
                  <c:v>1384.0745741117712</c:v>
                </c:pt>
              </c:numCache>
            </c:numRef>
          </c:val>
          <c:extLst xmlns:c16r2="http://schemas.microsoft.com/office/drawing/2015/06/chart">
            <c:ext xmlns:c16="http://schemas.microsoft.com/office/drawing/2014/chart" uri="{C3380CC4-5D6E-409C-BE32-E72D297353CC}">
              <c16:uniqueId val="{00000006-394E-415F-AEA4-5D30467F603E}"/>
            </c:ext>
          </c:extLst>
        </c:ser>
        <c:ser>
          <c:idx val="1"/>
          <c:order val="1"/>
          <c:tx>
            <c:strRef>
              <c:f>'[DPR working file 2021.xlsx]External Debt'!$A$64</c:f>
              <c:strCache>
                <c:ptCount val="1"/>
                <c:pt idx="0">
                  <c:v>Bonds</c:v>
                </c:pt>
              </c:strCache>
            </c:strRef>
          </c:tx>
          <c:spPr>
            <a:solidFill>
              <a:schemeClr val="accent2"/>
            </a:solidFill>
            <a:ln>
              <a:noFill/>
            </a:ln>
            <a:effectLst/>
          </c:spPr>
          <c:invertIfNegative val="0"/>
          <c:cat>
            <c:strRef>
              <c:f>'[DPR working file 2021.xlsx]External Debt'!$B$62:$F$62</c:f>
              <c:strCache>
                <c:ptCount val="5"/>
                <c:pt idx="0">
                  <c:v>2017</c:v>
                </c:pt>
                <c:pt idx="1">
                  <c:v>2018</c:v>
                </c:pt>
                <c:pt idx="2">
                  <c:v>2019</c:v>
                </c:pt>
                <c:pt idx="3">
                  <c:v>2020</c:v>
                </c:pt>
                <c:pt idx="4">
                  <c:v>2021</c:v>
                </c:pt>
              </c:strCache>
            </c:strRef>
          </c:cat>
          <c:val>
            <c:numRef>
              <c:f>'[DPR working file 2021.xlsx]External Debt'!$B$64:$F$64</c:f>
              <c:numCache>
                <c:formatCode>0.00</c:formatCode>
                <c:ptCount val="5"/>
                <c:pt idx="0">
                  <c:v>432.849251643</c:v>
                </c:pt>
                <c:pt idx="1">
                  <c:v>405.34455189200003</c:v>
                </c:pt>
                <c:pt idx="2">
                  <c:v>415.49452541000005</c:v>
                </c:pt>
                <c:pt idx="3">
                  <c:v>410.48468677600005</c:v>
                </c:pt>
                <c:pt idx="4">
                  <c:v>403.14037958000006</c:v>
                </c:pt>
              </c:numCache>
            </c:numRef>
          </c:val>
          <c:extLst xmlns:c16r2="http://schemas.microsoft.com/office/drawing/2015/06/chart">
            <c:ext xmlns:c16="http://schemas.microsoft.com/office/drawing/2014/chart" uri="{C3380CC4-5D6E-409C-BE32-E72D297353CC}">
              <c16:uniqueId val="{00000007-394E-415F-AEA4-5D30467F603E}"/>
            </c:ext>
          </c:extLst>
        </c:ser>
        <c:ser>
          <c:idx val="2"/>
          <c:order val="2"/>
          <c:tx>
            <c:strRef>
              <c:f>'[DPR working file 2021.xlsx]External Debt'!$A$66</c:f>
              <c:strCache>
                <c:ptCount val="1"/>
                <c:pt idx="0">
                  <c:v>Treasury Bills</c:v>
                </c:pt>
              </c:strCache>
            </c:strRef>
          </c:tx>
          <c:spPr>
            <a:solidFill>
              <a:schemeClr val="accent3"/>
            </a:solidFill>
            <a:ln>
              <a:noFill/>
            </a:ln>
            <a:effectLst/>
          </c:spPr>
          <c:invertIfNegative val="0"/>
          <c:cat>
            <c:strRef>
              <c:f>'[DPR working file 2021.xlsx]External Debt'!$B$62:$F$62</c:f>
              <c:strCache>
                <c:ptCount val="5"/>
                <c:pt idx="0">
                  <c:v>2017</c:v>
                </c:pt>
                <c:pt idx="1">
                  <c:v>2018</c:v>
                </c:pt>
                <c:pt idx="2">
                  <c:v>2019</c:v>
                </c:pt>
                <c:pt idx="3">
                  <c:v>2020</c:v>
                </c:pt>
                <c:pt idx="4">
                  <c:v>2021</c:v>
                </c:pt>
              </c:strCache>
            </c:strRef>
          </c:cat>
          <c:val>
            <c:numRef>
              <c:f>'[DPR working file 2021.xlsx]External Debt'!$B$66:$F$66</c:f>
              <c:numCache>
                <c:formatCode>#,##0.00</c:formatCode>
                <c:ptCount val="5"/>
                <c:pt idx="0">
                  <c:v>280.32</c:v>
                </c:pt>
                <c:pt idx="1">
                  <c:v>246.00253832700005</c:v>
                </c:pt>
                <c:pt idx="2" formatCode="0.00">
                  <c:v>202.40375761899998</c:v>
                </c:pt>
                <c:pt idx="3">
                  <c:v>210.18953815900002</c:v>
                </c:pt>
                <c:pt idx="4" formatCode="[$$-409]#,##0.00">
                  <c:v>248.543616703</c:v>
                </c:pt>
              </c:numCache>
            </c:numRef>
          </c:val>
          <c:extLst xmlns:c16r2="http://schemas.microsoft.com/office/drawing/2015/06/chart">
            <c:ext xmlns:c16="http://schemas.microsoft.com/office/drawing/2014/chart" uri="{C3380CC4-5D6E-409C-BE32-E72D297353CC}">
              <c16:uniqueId val="{00000008-394E-415F-AEA4-5D30467F603E}"/>
            </c:ext>
          </c:extLst>
        </c:ser>
        <c:dLbls>
          <c:showLegendKey val="0"/>
          <c:showVal val="0"/>
          <c:showCatName val="0"/>
          <c:showSerName val="0"/>
          <c:showPercent val="0"/>
          <c:showBubbleSize val="0"/>
        </c:dLbls>
        <c:gapWidth val="150"/>
        <c:axId val="291585536"/>
        <c:axId val="291587888"/>
      </c:barChart>
      <c:catAx>
        <c:axId val="291585536"/>
        <c:scaling>
          <c:orientation val="minMax"/>
        </c:scaling>
        <c:delete val="0"/>
        <c:axPos val="b"/>
        <c:numFmt formatCode="General" sourceLinked="1"/>
        <c:majorTickMark val="none"/>
        <c:minorTickMark val="none"/>
        <c:tickLblPos val="nextTo"/>
        <c:spPr>
          <a:noFill/>
          <a:ln w="9525">
            <a:noFill/>
            <a:round/>
          </a:ln>
          <a:effectLst/>
        </c:spPr>
        <c:txPr>
          <a:bodyPr rot="-60000000" spcFirstLastPara="1" vertOverflow="ellipsis" vert="horz" wrap="square" anchor="ctr" anchorCtr="1"/>
          <a:lstStyle/>
          <a:p>
            <a:pPr algn="ctr" rtl="0">
              <a:defRPr sz="800" b="0" i="0" u="none" strike="noStrike" kern="1200" cap="all" spc="12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1587888"/>
        <c:crosses val="autoZero"/>
        <c:auto val="1"/>
        <c:lblAlgn val="ctr"/>
        <c:lblOffset val="100"/>
        <c:noMultiLvlLbl val="0"/>
      </c:catAx>
      <c:valAx>
        <c:axId val="291587888"/>
        <c:scaling>
          <c:orientation val="minMax"/>
        </c:scaling>
        <c:delete val="0"/>
        <c:axPos val="l"/>
        <c:majorGridlines>
          <c:spPr>
            <a:ln w="9525">
              <a:noFill/>
              <a:round/>
            </a:ln>
            <a:effectLst/>
          </c:spPr>
        </c:majorGridlines>
        <c:title>
          <c:tx>
            <c:rich>
              <a:bodyPr rot="-5400000" spcFirstLastPara="1" vertOverflow="ellipsis" vert="horz" wrap="square" anchor="ctr" anchorCtr="1"/>
              <a:lstStyle/>
              <a:p>
                <a:pPr>
                  <a:defRPr sz="8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r>
                  <a:rPr lang="en-US"/>
                  <a:t>Millions (XCD)</a:t>
                </a:r>
              </a:p>
            </c:rich>
          </c:tx>
          <c:layout>
            <c:manualLayout>
              <c:xMode val="edge"/>
              <c:yMode val="edge"/>
              <c:x val="4.7514619883040933E-2"/>
              <c:y val="0.31288588926384203"/>
            </c:manualLayout>
          </c:layout>
          <c:overlay val="0"/>
          <c:spPr>
            <a:noFill/>
            <a:ln>
              <a:noFill/>
            </a:ln>
            <a:effectLst/>
          </c:spPr>
          <c:txPr>
            <a:bodyPr rot="-5400000" spcFirstLastPara="1" vertOverflow="ellipsis" vert="horz" wrap="square" anchor="ctr" anchorCtr="1"/>
            <a:lstStyle/>
            <a:p>
              <a:pPr>
                <a:defRPr sz="8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out"/>
        <c:minorTickMark val="none"/>
        <c:tickLblPos val="nextTo"/>
        <c:spPr>
          <a:noFill/>
          <a:ln w="9525">
            <a:noFill/>
            <a:round/>
          </a:ln>
          <a:effectLst/>
        </c:spPr>
        <c:txPr>
          <a:bodyPr rot="-60000000" spcFirstLastPara="1" vertOverflow="ellipsis" vert="horz" wrap="square" anchor="ctr" anchorCtr="1"/>
          <a:lstStyle/>
          <a:p>
            <a:pPr algn="ctr" rtl="0">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1585536"/>
        <c:crosses val="autoZero"/>
        <c:crossBetween val="between"/>
        <c:majorUnit val="300"/>
      </c:valAx>
      <c:spPr>
        <a:noFill/>
        <a:ln>
          <a:noFill/>
        </a:ln>
        <a:effectLst/>
      </c:spPr>
    </c:plotArea>
    <c:legend>
      <c:legendPos val="r"/>
      <c:layout>
        <c:manualLayout>
          <c:xMode val="edge"/>
          <c:yMode val="edge"/>
          <c:x val="0.74216282175254411"/>
          <c:y val="0.28732189726284219"/>
          <c:w val="0.18108279228254362"/>
          <c:h val="0.33937684872724244"/>
        </c:manualLayout>
      </c:layout>
      <c:overlay val="0"/>
      <c:spPr>
        <a:noFill/>
        <a:ln>
          <a:noFill/>
        </a:ln>
        <a:effectLst/>
      </c:spPr>
      <c:txPr>
        <a:bodyPr rot="0" spcFirstLastPara="1" vertOverflow="ellipsis" vert="horz" wrap="square" anchor="ctr" anchorCtr="1"/>
        <a:lstStyle/>
        <a:p>
          <a:pPr algn="ctr" rtl="0">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2.7816342036192845E-2"/>
          <c:y val="0.23157717264508604"/>
          <c:w val="0.90652858359810295"/>
          <c:h val="0.72791356809565455"/>
        </c:manualLayout>
      </c:layout>
      <c:ofPieChart>
        <c:ofPieType val="bar"/>
        <c:varyColors val="1"/>
        <c:ser>
          <c:idx val="0"/>
          <c:order val="0"/>
          <c:dPt>
            <c:idx val="0"/>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1-8B3C-46FB-BC41-49B9CF42E52A}"/>
              </c:ext>
            </c:extLst>
          </c:dPt>
          <c:dPt>
            <c:idx val="1"/>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3-8B3C-46FB-BC41-49B9CF42E52A}"/>
              </c:ext>
            </c:extLst>
          </c:dPt>
          <c:dPt>
            <c:idx val="2"/>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5-8B3C-46FB-BC41-49B9CF42E52A}"/>
              </c:ext>
            </c:extLst>
          </c:dPt>
          <c:dPt>
            <c:idx val="3"/>
            <c:bubble3D val="0"/>
            <c:spPr>
              <a:solidFill>
                <a:schemeClr val="accent2">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7-8B3C-46FB-BC41-49B9CF42E52A}"/>
              </c:ext>
            </c:extLst>
          </c:dPt>
          <c:dPt>
            <c:idx val="4"/>
            <c:bubble3D val="0"/>
            <c:spPr>
              <a:solidFill>
                <a:schemeClr val="accent4">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9-8B3C-46FB-BC41-49B9CF42E52A}"/>
              </c:ext>
            </c:extLst>
          </c:dPt>
          <c:dPt>
            <c:idx val="5"/>
            <c:bubble3D val="0"/>
            <c:spPr>
              <a:solidFill>
                <a:schemeClr val="accent6">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B-8B3C-46FB-BC41-49B9CF42E52A}"/>
              </c:ext>
            </c:extLst>
          </c:dPt>
          <c:dPt>
            <c:idx val="6"/>
            <c:bubble3D val="0"/>
            <c:spPr>
              <a:solidFill>
                <a:schemeClr val="accent2">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D-8B3C-46FB-BC41-49B9CF42E52A}"/>
              </c:ext>
            </c:extLst>
          </c:dPt>
          <c:dPt>
            <c:idx val="7"/>
            <c:bubble3D val="0"/>
            <c:spPr>
              <a:solidFill>
                <a:schemeClr val="accent4">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F-8B3C-46FB-BC41-49B9CF42E52A}"/>
              </c:ext>
            </c:extLst>
          </c:dPt>
          <c:dPt>
            <c:idx val="8"/>
            <c:bubble3D val="0"/>
            <c:spPr>
              <a:solidFill>
                <a:schemeClr val="accent6">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1-8B3C-46FB-BC41-49B9CF42E52A}"/>
              </c:ext>
            </c:extLst>
          </c:dPt>
          <c:dPt>
            <c:idx val="9"/>
            <c:bubble3D val="0"/>
            <c:spPr>
              <a:solidFill>
                <a:schemeClr val="accent2">
                  <a:lumMod val="8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3-8B3C-46FB-BC41-49B9CF42E52A}"/>
              </c:ext>
            </c:extLst>
          </c:dPt>
          <c:dPt>
            <c:idx val="10"/>
            <c:bubble3D val="0"/>
            <c:spPr>
              <a:solidFill>
                <a:schemeClr val="accent4">
                  <a:lumMod val="8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5-8B3C-46FB-BC41-49B9CF42E52A}"/>
              </c:ext>
            </c:extLst>
          </c:dPt>
          <c:dPt>
            <c:idx val="11"/>
            <c:bubble3D val="0"/>
            <c:spPr>
              <a:solidFill>
                <a:schemeClr val="accent6">
                  <a:lumMod val="8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7-8B3C-46FB-BC41-49B9CF42E52A}"/>
              </c:ext>
            </c:extLst>
          </c:dPt>
          <c:dPt>
            <c:idx val="12"/>
            <c:bubble3D val="0"/>
            <c:spPr>
              <a:solidFill>
                <a:schemeClr val="accent2">
                  <a:lumMod val="60000"/>
                  <a:lumOff val="4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9-8B3C-46FB-BC41-49B9CF42E52A}"/>
              </c:ext>
            </c:extLst>
          </c:dPt>
          <c:dPt>
            <c:idx val="13"/>
            <c:bubble3D val="0"/>
            <c:spPr>
              <a:solidFill>
                <a:schemeClr val="accent4">
                  <a:lumMod val="60000"/>
                  <a:lumOff val="4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B-8B3C-46FB-BC41-49B9CF42E52A}"/>
              </c:ext>
            </c:extLst>
          </c:dPt>
          <c:dPt>
            <c:idx val="14"/>
            <c:bubble3D val="0"/>
            <c:spPr>
              <a:solidFill>
                <a:schemeClr val="accent6">
                  <a:lumMod val="60000"/>
                  <a:lumOff val="4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D-8B3C-46FB-BC41-49B9CF42E52A}"/>
              </c:ext>
            </c:extLst>
          </c:dPt>
          <c:dPt>
            <c:idx val="15"/>
            <c:bubble3D val="0"/>
            <c:spPr>
              <a:solidFill>
                <a:schemeClr val="accent2">
                  <a:lumMod val="5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F-8B3C-46FB-BC41-49B9CF42E52A}"/>
              </c:ext>
            </c:extLst>
          </c:dPt>
          <c:dPt>
            <c:idx val="16"/>
            <c:bubble3D val="0"/>
            <c:spPr>
              <a:solidFill>
                <a:schemeClr val="accent4">
                  <a:lumMod val="5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21-8B3C-46FB-BC41-49B9CF42E52A}"/>
              </c:ext>
            </c:extLst>
          </c:dPt>
          <c:dPt>
            <c:idx val="17"/>
            <c:bubble3D val="0"/>
            <c:spPr>
              <a:solidFill>
                <a:schemeClr val="accent6">
                  <a:lumMod val="5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23-8B3C-46FB-BC41-49B9CF42E52A}"/>
              </c:ext>
            </c:extLst>
          </c:dPt>
          <c:dLbls>
            <c:dLbl>
              <c:idx val="1"/>
              <c:layout>
                <c:manualLayout>
                  <c:x val="0.10914206036745407"/>
                  <c:y val="-0.25095270543105191"/>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8B3C-46FB-BC41-49B9CF42E52A}"/>
                </c:ext>
                <c:ext xmlns:c15="http://schemas.microsoft.com/office/drawing/2012/chart" uri="{CE6537A1-D6FC-4f65-9D91-7224C49458BB}"/>
              </c:extLst>
            </c:dLbl>
            <c:dLbl>
              <c:idx val="3"/>
              <c:layout>
                <c:manualLayout>
                  <c:x val="-6.4375690703135799E-2"/>
                  <c:y val="0.10416666666666667"/>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7-8B3C-46FB-BC41-49B9CF42E52A}"/>
                </c:ext>
                <c:ext xmlns:c15="http://schemas.microsoft.com/office/drawing/2012/chart" uri="{CE6537A1-D6FC-4f65-9D91-7224C49458BB}"/>
              </c:extLst>
            </c:dLbl>
            <c:dLbl>
              <c:idx val="6"/>
              <c:layout>
                <c:manualLayout>
                  <c:x val="-4.0527294285582723E-2"/>
                  <c:y val="-0.10416666666666667"/>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D-8B3C-46FB-BC41-49B9CF42E52A}"/>
                </c:ext>
                <c:ext xmlns:c15="http://schemas.microsoft.com/office/drawing/2012/chart" uri="{CE6537A1-D6FC-4f65-9D91-7224C49458BB}">
                  <c15:layout>
                    <c:manualLayout>
                      <c:w val="0.23644005847953217"/>
                      <c:h val="0.15711805555555555"/>
                    </c:manualLayout>
                  </c15:layout>
                </c:ext>
              </c:extLst>
            </c:dLbl>
            <c:dLbl>
              <c:idx val="7"/>
              <c:layout>
                <c:manualLayout>
                  <c:x val="-7.2334136660753265E-2"/>
                  <c:y val="0"/>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F-8B3C-46FB-BC41-49B9CF42E52A}"/>
                </c:ext>
                <c:ext xmlns:c15="http://schemas.microsoft.com/office/drawing/2012/chart" uri="{CE6537A1-D6FC-4f65-9D91-7224C49458BB}"/>
              </c:extLst>
            </c:dLbl>
            <c:dLbl>
              <c:idx val="8"/>
              <c:layout>
                <c:manualLayout>
                  <c:x val="-3.7315236911175578E-3"/>
                  <c:y val="9.5339156824146981E-2"/>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11-8B3C-46FB-BC41-49B9CF42E52A}"/>
                </c:ext>
                <c:ext xmlns:c15="http://schemas.microsoft.com/office/drawing/2012/chart" uri="{CE6537A1-D6FC-4f65-9D91-7224C49458BB}">
                  <c15:layout>
                    <c:manualLayout>
                      <c:w val="0.24296144725330387"/>
                      <c:h val="0.15210976232137646"/>
                    </c:manualLayout>
                  </c15:layout>
                </c:ext>
              </c:extLst>
            </c:dLbl>
            <c:dLbl>
              <c:idx val="9"/>
              <c:layout>
                <c:manualLayout>
                  <c:x val="-2.558479532163736E-2"/>
                  <c:y val="0.14506666484397784"/>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13-8B3C-46FB-BC41-49B9CF42E52A}"/>
                </c:ext>
                <c:ext xmlns:c15="http://schemas.microsoft.com/office/drawing/2012/chart" uri="{CE6537A1-D6FC-4f65-9D91-7224C49458BB}">
                  <c15:layout>
                    <c:manualLayout>
                      <c:w val="0.19215720652052246"/>
                      <c:h val="6.6560011180684289E-2"/>
                    </c:manualLayout>
                  </c15:layout>
                </c:ext>
              </c:extLst>
            </c:dLbl>
            <c:numFmt formatCode="0.0%" sourceLinked="0"/>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showLeaderLines val="1"/>
            <c:leaderLines>
              <c:spPr>
                <a:ln w="9525">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'[DPR working file 2021.xlsx]External Debt'!$A$91:$A$99</c:f>
              <c:strCache>
                <c:ptCount val="9"/>
                <c:pt idx="0">
                  <c:v>Agriculture, Fishing &amp; Forestry</c:v>
                </c:pt>
                <c:pt idx="1">
                  <c:v>Finance, Insurance, Etc</c:v>
                </c:pt>
                <c:pt idx="2">
                  <c:v>Health &amp; Social Welfare</c:v>
                </c:pt>
                <c:pt idx="3">
                  <c:v>Roads and Bridges</c:v>
                </c:pt>
                <c:pt idx="4">
                  <c:v>Utilities</c:v>
                </c:pt>
                <c:pt idx="5">
                  <c:v>Education &amp; Training</c:v>
                </c:pt>
                <c:pt idx="6">
                  <c:v>Other - Commu. &amp; Works</c:v>
                </c:pt>
                <c:pt idx="7">
                  <c:v>Other </c:v>
                </c:pt>
                <c:pt idx="8">
                  <c:v>Housing &amp; Urban Development</c:v>
                </c:pt>
              </c:strCache>
            </c:strRef>
          </c:cat>
          <c:val>
            <c:numRef>
              <c:f>'[DPR working file 2021.xlsx]External Debt'!$B$91:$B$99</c:f>
              <c:numCache>
                <c:formatCode>[$$-409]#,##0.00</c:formatCode>
                <c:ptCount val="9"/>
                <c:pt idx="0">
                  <c:v>1299</c:v>
                </c:pt>
                <c:pt idx="1">
                  <c:v>1210058</c:v>
                </c:pt>
                <c:pt idx="2">
                  <c:v>300046</c:v>
                </c:pt>
                <c:pt idx="3">
                  <c:v>201204</c:v>
                </c:pt>
                <c:pt idx="4">
                  <c:v>131899</c:v>
                </c:pt>
                <c:pt idx="5">
                  <c:v>117555</c:v>
                </c:pt>
                <c:pt idx="6">
                  <c:v>80470</c:v>
                </c:pt>
                <c:pt idx="7">
                  <c:v>46311</c:v>
                </c:pt>
                <c:pt idx="8">
                  <c:v>42817</c:v>
                </c:pt>
              </c:numCache>
            </c:numRef>
          </c:val>
          <c:extLst xmlns:c16r2="http://schemas.microsoft.com/office/drawing/2015/06/chart">
            <c:ext xmlns:c16="http://schemas.microsoft.com/office/drawing/2014/chart" uri="{C3380CC4-5D6E-409C-BE32-E72D297353CC}">
              <c16:uniqueId val="{00000024-8B3C-46FB-BC41-49B9CF42E52A}"/>
            </c:ext>
          </c:extLst>
        </c:ser>
        <c:dLbls>
          <c:dLblPos val="bestFit"/>
          <c:showLegendKey val="0"/>
          <c:showVal val="0"/>
          <c:showCatName val="1"/>
          <c:showSerName val="0"/>
          <c:showPercent val="1"/>
          <c:showBubbleSize val="0"/>
          <c:showLeaderLines val="1"/>
        </c:dLbls>
        <c:gapWidth val="100"/>
        <c:secondPieSize val="57"/>
        <c:serLines>
          <c:spPr>
            <a:ln w="9525">
              <a:solidFill>
                <a:schemeClr val="tx1">
                  <a:lumMod val="35000"/>
                  <a:lumOff val="65000"/>
                </a:schemeClr>
              </a:solidFill>
              <a:round/>
            </a:ln>
            <a:effectLst/>
          </c:spPr>
        </c:serLines>
      </c:ofPieChart>
      <c:spPr>
        <a:noFill/>
        <a:ln>
          <a:noFill/>
        </a:ln>
        <a:effectLst/>
      </c:spPr>
    </c:plotArea>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328169048313409"/>
          <c:y val="0.15873015873015872"/>
          <c:w val="0.76656398852921159"/>
          <c:h val="0.65684862308878056"/>
        </c:manualLayout>
      </c:layout>
      <c:barChart>
        <c:barDir val="col"/>
        <c:grouping val="clustered"/>
        <c:varyColors val="0"/>
        <c:ser>
          <c:idx val="0"/>
          <c:order val="0"/>
          <c:tx>
            <c:strRef>
              <c:f>'[DPR working file 2021.xlsx]Central Govt'!$A$4</c:f>
              <c:strCache>
                <c:ptCount val="1"/>
                <c:pt idx="0">
                  <c:v>Domestic</c:v>
                </c:pt>
              </c:strCache>
            </c:strRef>
          </c:tx>
          <c:spPr>
            <a:solidFill>
              <a:schemeClr val="accent1"/>
            </a:solidFill>
            <a:ln>
              <a:noFill/>
            </a:ln>
            <a:effectLst/>
          </c:spPr>
          <c:invertIfNegative val="0"/>
          <c:cat>
            <c:strRef>
              <c:f>'[DPR working file 2021.xlsx]Central Govt'!$B$3:$F$3</c:f>
              <c:strCache>
                <c:ptCount val="5"/>
                <c:pt idx="0">
                  <c:v>2017</c:v>
                </c:pt>
                <c:pt idx="1">
                  <c:v>2018</c:v>
                </c:pt>
                <c:pt idx="2">
                  <c:v>2019</c:v>
                </c:pt>
                <c:pt idx="3">
                  <c:v>2020</c:v>
                </c:pt>
                <c:pt idx="4">
                  <c:v>2021</c:v>
                </c:pt>
              </c:strCache>
            </c:strRef>
          </c:cat>
          <c:val>
            <c:numRef>
              <c:f>'[DPR working file 2021.xlsx]Central Govt'!$B$4:$F$4</c:f>
              <c:numCache>
                <c:formatCode>#,##0.00</c:formatCode>
                <c:ptCount val="5"/>
                <c:pt idx="0" formatCode="[$$-409]#,##0.00">
                  <c:v>1392.5806211380007</c:v>
                </c:pt>
                <c:pt idx="1">
                  <c:v>1527.6517591810002</c:v>
                </c:pt>
                <c:pt idx="2">
                  <c:v>1584.216338749</c:v>
                </c:pt>
                <c:pt idx="3">
                  <c:v>1680.1674847709999</c:v>
                </c:pt>
                <c:pt idx="4">
                  <c:v>1689.8507619440004</c:v>
                </c:pt>
              </c:numCache>
            </c:numRef>
          </c:val>
          <c:extLst xmlns:c16r2="http://schemas.microsoft.com/office/drawing/2015/06/chart">
            <c:ext xmlns:c16="http://schemas.microsoft.com/office/drawing/2014/chart" uri="{C3380CC4-5D6E-409C-BE32-E72D297353CC}">
              <c16:uniqueId val="{00000000-67CE-4D4D-AF1A-6CA4D55B6023}"/>
            </c:ext>
          </c:extLst>
        </c:ser>
        <c:ser>
          <c:idx val="1"/>
          <c:order val="1"/>
          <c:tx>
            <c:strRef>
              <c:f>'[DPR working file 2021.xlsx]Central Govt'!$A$5</c:f>
              <c:strCache>
                <c:ptCount val="1"/>
                <c:pt idx="0">
                  <c:v>External</c:v>
                </c:pt>
              </c:strCache>
            </c:strRef>
          </c:tx>
          <c:spPr>
            <a:solidFill>
              <a:schemeClr val="accent6">
                <a:lumMod val="60000"/>
                <a:lumOff val="40000"/>
              </a:schemeClr>
            </a:solidFill>
            <a:ln>
              <a:noFill/>
            </a:ln>
            <a:effectLst/>
          </c:spPr>
          <c:invertIfNegative val="0"/>
          <c:cat>
            <c:strRef>
              <c:f>'[DPR working file 2021.xlsx]Central Govt'!$B$3:$F$3</c:f>
              <c:strCache>
                <c:ptCount val="5"/>
                <c:pt idx="0">
                  <c:v>2017</c:v>
                </c:pt>
                <c:pt idx="1">
                  <c:v>2018</c:v>
                </c:pt>
                <c:pt idx="2">
                  <c:v>2019</c:v>
                </c:pt>
                <c:pt idx="3">
                  <c:v>2020</c:v>
                </c:pt>
                <c:pt idx="4">
                  <c:v>2021</c:v>
                </c:pt>
              </c:strCache>
            </c:strRef>
          </c:cat>
          <c:val>
            <c:numRef>
              <c:f>'[DPR working file 2021.xlsx]Central Govt'!$B$5:$F$5</c:f>
              <c:numCache>
                <c:formatCode>#,##0.00</c:formatCode>
                <c:ptCount val="5"/>
                <c:pt idx="0" formatCode="[$$-409]#,##0.00">
                  <c:v>1590.8914463992664</c:v>
                </c:pt>
                <c:pt idx="1">
                  <c:v>1580.4842336036879</c:v>
                </c:pt>
                <c:pt idx="2">
                  <c:v>1640.5179370642986</c:v>
                </c:pt>
                <c:pt idx="3">
                  <c:v>1880.9570798553418</c:v>
                </c:pt>
                <c:pt idx="4">
                  <c:v>2174.4970700197719</c:v>
                </c:pt>
              </c:numCache>
            </c:numRef>
          </c:val>
          <c:extLst xmlns:c16r2="http://schemas.microsoft.com/office/drawing/2015/06/chart">
            <c:ext xmlns:c16="http://schemas.microsoft.com/office/drawing/2014/chart" uri="{C3380CC4-5D6E-409C-BE32-E72D297353CC}">
              <c16:uniqueId val="{00000001-67CE-4D4D-AF1A-6CA4D55B6023}"/>
            </c:ext>
          </c:extLst>
        </c:ser>
        <c:dLbls>
          <c:showLegendKey val="0"/>
          <c:showVal val="0"/>
          <c:showCatName val="0"/>
          <c:showSerName val="0"/>
          <c:showPercent val="0"/>
          <c:showBubbleSize val="0"/>
        </c:dLbls>
        <c:gapWidth val="219"/>
        <c:overlap val="-27"/>
        <c:axId val="291582400"/>
        <c:axId val="291584752"/>
      </c:barChart>
      <c:catAx>
        <c:axId val="291582400"/>
        <c:scaling>
          <c:orientation val="minMax"/>
        </c:scaling>
        <c:delete val="0"/>
        <c:axPos val="b"/>
        <c:numFmt formatCode="General" sourceLinked="1"/>
        <c:majorTickMark val="none"/>
        <c:minorTickMark val="none"/>
        <c:tickLblPos val="nextTo"/>
        <c:spPr>
          <a:noFill/>
          <a:ln w="9525">
            <a:no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1584752"/>
        <c:crosses val="autoZero"/>
        <c:auto val="1"/>
        <c:lblAlgn val="ctr"/>
        <c:lblOffset val="100"/>
        <c:noMultiLvlLbl val="0"/>
      </c:catAx>
      <c:valAx>
        <c:axId val="291584752"/>
        <c:scaling>
          <c:orientation val="minMax"/>
          <c:max val="2400"/>
          <c:min val="0"/>
        </c:scaling>
        <c:delete val="0"/>
        <c:axPos val="l"/>
        <c:majorGridlines>
          <c:spPr>
            <a:ln w="9525">
              <a:no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029"/>
                  <a:t>Millions(XCD)</a:t>
                </a:r>
              </a:p>
            </c:rich>
          </c:tx>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1582400"/>
        <c:crosses val="autoZero"/>
        <c:crossBetween val="between"/>
        <c:majorUnit val="400"/>
      </c:valAx>
      <c:spPr>
        <a:noFill/>
        <a:ln>
          <a:noFill/>
        </a:ln>
        <a:effectLst/>
      </c:spPr>
    </c:plotArea>
    <c:legend>
      <c:legendPos val="b"/>
      <c:layout>
        <c:manualLayout>
          <c:xMode val="edge"/>
          <c:yMode val="edge"/>
          <c:x val="0.32936746621950036"/>
          <c:y val="0.90230648252301793"/>
          <c:w val="0.34126476377952758"/>
          <c:h val="9.7693517476982045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9871378924856614"/>
          <c:y val="0.18518518518518517"/>
          <c:w val="0.55227289297171178"/>
          <c:h val="0.71485960088322298"/>
        </c:manualLayout>
      </c:layout>
      <c:barChart>
        <c:barDir val="col"/>
        <c:grouping val="stacked"/>
        <c:varyColors val="0"/>
        <c:ser>
          <c:idx val="0"/>
          <c:order val="0"/>
          <c:tx>
            <c:strRef>
              <c:f>'[DPR working file 2021.xlsx]Central Govt'!$A$27</c:f>
              <c:strCache>
                <c:ptCount val="1"/>
                <c:pt idx="0">
                  <c:v>Bonds</c:v>
                </c:pt>
              </c:strCache>
            </c:strRef>
          </c:tx>
          <c:spPr>
            <a:solidFill>
              <a:schemeClr val="accent1"/>
            </a:solidFill>
            <a:ln>
              <a:noFill/>
            </a:ln>
            <a:effectLst/>
          </c:spPr>
          <c:invertIfNegative val="0"/>
          <c:cat>
            <c:numRef>
              <c:f>'[DPR working file 2021.xlsx]Central Govt'!$B$25:$F$25</c:f>
              <c:numCache>
                <c:formatCode>General</c:formatCode>
                <c:ptCount val="5"/>
                <c:pt idx="0">
                  <c:v>2017</c:v>
                </c:pt>
                <c:pt idx="1">
                  <c:v>2018</c:v>
                </c:pt>
                <c:pt idx="2">
                  <c:v>2019</c:v>
                </c:pt>
                <c:pt idx="3">
                  <c:v>2020</c:v>
                </c:pt>
                <c:pt idx="4">
                  <c:v>2021</c:v>
                </c:pt>
              </c:numCache>
            </c:numRef>
          </c:cat>
          <c:val>
            <c:numRef>
              <c:f>'[DPR working file 2021.xlsx]Central Govt'!$B$27:$F$27</c:f>
              <c:numCache>
                <c:formatCode>[$$-409]#,##0.00</c:formatCode>
                <c:ptCount val="5"/>
                <c:pt idx="0">
                  <c:v>1172.4704847529999</c:v>
                </c:pt>
                <c:pt idx="1">
                  <c:v>1238.464976905</c:v>
                </c:pt>
                <c:pt idx="2">
                  <c:v>1280.1289178999998</c:v>
                </c:pt>
                <c:pt idx="3">
                  <c:v>1383.5887872719995</c:v>
                </c:pt>
                <c:pt idx="4">
                  <c:v>1374.4718519100002</c:v>
                </c:pt>
              </c:numCache>
            </c:numRef>
          </c:val>
          <c:extLst xmlns:c16r2="http://schemas.microsoft.com/office/drawing/2015/06/chart">
            <c:ext xmlns:c16="http://schemas.microsoft.com/office/drawing/2014/chart" uri="{C3380CC4-5D6E-409C-BE32-E72D297353CC}">
              <c16:uniqueId val="{00000000-4124-4538-826C-F5E55ABB2997}"/>
            </c:ext>
          </c:extLst>
        </c:ser>
        <c:ser>
          <c:idx val="1"/>
          <c:order val="1"/>
          <c:tx>
            <c:strRef>
              <c:f>'[DPR working file 2021.xlsx]Central Govt'!$A$29</c:f>
              <c:strCache>
                <c:ptCount val="1"/>
                <c:pt idx="0">
                  <c:v>Treasury Bills</c:v>
                </c:pt>
              </c:strCache>
            </c:strRef>
          </c:tx>
          <c:spPr>
            <a:solidFill>
              <a:schemeClr val="accent2"/>
            </a:solidFill>
            <a:ln>
              <a:noFill/>
            </a:ln>
            <a:effectLst/>
          </c:spPr>
          <c:invertIfNegative val="0"/>
          <c:cat>
            <c:numRef>
              <c:f>'[DPR working file 2021.xlsx]Central Govt'!$B$25:$F$25</c:f>
              <c:numCache>
                <c:formatCode>General</c:formatCode>
                <c:ptCount val="5"/>
                <c:pt idx="0">
                  <c:v>2017</c:v>
                </c:pt>
                <c:pt idx="1">
                  <c:v>2018</c:v>
                </c:pt>
                <c:pt idx="2">
                  <c:v>2019</c:v>
                </c:pt>
                <c:pt idx="3">
                  <c:v>2020</c:v>
                </c:pt>
                <c:pt idx="4">
                  <c:v>2021</c:v>
                </c:pt>
              </c:numCache>
            </c:numRef>
          </c:cat>
          <c:val>
            <c:numRef>
              <c:f>'[DPR working file 2021.xlsx]Central Govt'!$B$29:$F$29</c:f>
              <c:numCache>
                <c:formatCode>[$$-409]#,##0.00</c:formatCode>
                <c:ptCount val="5"/>
                <c:pt idx="0">
                  <c:v>497.29288299800004</c:v>
                </c:pt>
                <c:pt idx="1">
                  <c:v>362.37131850499998</c:v>
                </c:pt>
                <c:pt idx="2">
                  <c:v>343.782087563</c:v>
                </c:pt>
                <c:pt idx="3">
                  <c:v>330.74112742599999</c:v>
                </c:pt>
                <c:pt idx="4">
                  <c:v>365.39115921199999</c:v>
                </c:pt>
              </c:numCache>
            </c:numRef>
          </c:val>
          <c:extLst xmlns:c16r2="http://schemas.microsoft.com/office/drawing/2015/06/chart">
            <c:ext xmlns:c16="http://schemas.microsoft.com/office/drawing/2014/chart" uri="{C3380CC4-5D6E-409C-BE32-E72D297353CC}">
              <c16:uniqueId val="{00000001-4124-4538-826C-F5E55ABB2997}"/>
            </c:ext>
          </c:extLst>
        </c:ser>
        <c:ser>
          <c:idx val="2"/>
          <c:order val="2"/>
          <c:tx>
            <c:strRef>
              <c:f>'[DPR working file 2021.xlsx]Central Govt'!$A$26</c:f>
              <c:strCache>
                <c:ptCount val="1"/>
                <c:pt idx="0">
                  <c:v>Loans</c:v>
                </c:pt>
              </c:strCache>
            </c:strRef>
          </c:tx>
          <c:spPr>
            <a:solidFill>
              <a:schemeClr val="accent3"/>
            </a:solidFill>
            <a:ln>
              <a:noFill/>
            </a:ln>
            <a:effectLst/>
          </c:spPr>
          <c:invertIfNegative val="0"/>
          <c:cat>
            <c:numRef>
              <c:f>'[DPR working file 2021.xlsx]Central Govt'!$B$25:$F$25</c:f>
              <c:numCache>
                <c:formatCode>General</c:formatCode>
                <c:ptCount val="5"/>
                <c:pt idx="0">
                  <c:v>2017</c:v>
                </c:pt>
                <c:pt idx="1">
                  <c:v>2018</c:v>
                </c:pt>
                <c:pt idx="2">
                  <c:v>2019</c:v>
                </c:pt>
                <c:pt idx="3">
                  <c:v>2020</c:v>
                </c:pt>
                <c:pt idx="4">
                  <c:v>2021</c:v>
                </c:pt>
              </c:numCache>
            </c:numRef>
          </c:cat>
          <c:val>
            <c:numRef>
              <c:f>'[DPR working file 2021.xlsx]Central Govt'!$B$26:$F$26</c:f>
              <c:numCache>
                <c:formatCode>[$$-409]#,##0.00</c:formatCode>
                <c:ptCount val="5"/>
                <c:pt idx="0">
                  <c:v>895.68726352326723</c:v>
                </c:pt>
                <c:pt idx="1">
                  <c:v>887.51309218368829</c:v>
                </c:pt>
                <c:pt idx="2">
                  <c:v>925.22111818629969</c:v>
                </c:pt>
                <c:pt idx="3">
                  <c:v>1210.1844258463411</c:v>
                </c:pt>
                <c:pt idx="4">
                  <c:v>1467.1284879727716</c:v>
                </c:pt>
              </c:numCache>
            </c:numRef>
          </c:val>
          <c:extLst xmlns:c16r2="http://schemas.microsoft.com/office/drawing/2015/06/chart">
            <c:ext xmlns:c16="http://schemas.microsoft.com/office/drawing/2014/chart" uri="{C3380CC4-5D6E-409C-BE32-E72D297353CC}">
              <c16:uniqueId val="{00000002-4124-4538-826C-F5E55ABB2997}"/>
            </c:ext>
          </c:extLst>
        </c:ser>
        <c:dLbls>
          <c:showLegendKey val="0"/>
          <c:showVal val="0"/>
          <c:showCatName val="0"/>
          <c:showSerName val="0"/>
          <c:showPercent val="0"/>
          <c:showBubbleSize val="0"/>
        </c:dLbls>
        <c:gapWidth val="300"/>
        <c:axId val="291583184"/>
        <c:axId val="291582008"/>
      </c:barChart>
      <c:catAx>
        <c:axId val="291583184"/>
        <c:scaling>
          <c:orientation val="minMax"/>
        </c:scaling>
        <c:delete val="0"/>
        <c:axPos val="b"/>
        <c:numFmt formatCode="General" sourceLinked="1"/>
        <c:majorTickMark val="none"/>
        <c:minorTickMark val="none"/>
        <c:tickLblPos val="nextTo"/>
        <c:spPr>
          <a:noFill/>
          <a:ln w="9525">
            <a:noFill/>
            <a:round/>
          </a:ln>
          <a:effectLst/>
        </c:spPr>
        <c:txPr>
          <a:bodyPr rot="-60000000" spcFirstLastPara="1" vertOverflow="ellipsis" vert="horz" wrap="square" anchor="ctr" anchorCtr="1"/>
          <a:lstStyle/>
          <a:p>
            <a:pPr>
              <a:defRPr lang="en-029" sz="8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1582008"/>
        <c:crosses val="autoZero"/>
        <c:auto val="1"/>
        <c:lblAlgn val="ctr"/>
        <c:lblOffset val="100"/>
        <c:noMultiLvlLbl val="0"/>
      </c:catAx>
      <c:valAx>
        <c:axId val="291582008"/>
        <c:scaling>
          <c:orientation val="minMax"/>
        </c:scaling>
        <c:delete val="0"/>
        <c:axPos val="l"/>
        <c:majorGridlines>
          <c:spPr>
            <a:ln w="9525">
              <a:noFill/>
              <a:round/>
            </a:ln>
            <a:effectLst/>
          </c:spPr>
        </c:majorGridlines>
        <c:title>
          <c:tx>
            <c:rich>
              <a:bodyPr rot="-5400000" spcFirstLastPara="1" vertOverflow="ellipsis" vert="horz" wrap="square" anchor="ctr" anchorCtr="1"/>
              <a:lstStyle/>
              <a:p>
                <a:pPr>
                  <a:defRPr lang="en-029" sz="8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Millions (XCD)</a:t>
                </a:r>
              </a:p>
            </c:rich>
          </c:tx>
          <c:overlay val="0"/>
          <c:spPr>
            <a:noFill/>
            <a:ln>
              <a:noFill/>
            </a:ln>
            <a:effectLst/>
          </c:spPr>
          <c:txPr>
            <a:bodyPr rot="-5400000" spcFirstLastPara="1" vertOverflow="ellipsis" vert="horz" wrap="square" anchor="ctr" anchorCtr="1"/>
            <a:lstStyle/>
            <a:p>
              <a:pPr>
                <a:defRPr lang="en-029" sz="8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lgn="ctr">
              <a:defRPr lang="en-029" sz="8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1583184"/>
        <c:crosses val="autoZero"/>
        <c:crossBetween val="between"/>
      </c:valAx>
      <c:spPr>
        <a:noFill/>
        <a:ln>
          <a:noFill/>
        </a:ln>
        <a:effectLst/>
      </c:spPr>
    </c:plotArea>
    <c:legend>
      <c:legendPos val="r"/>
      <c:layout>
        <c:manualLayout>
          <c:xMode val="edge"/>
          <c:yMode val="edge"/>
          <c:x val="0.75098668222027798"/>
          <c:y val="0.57898856392950881"/>
          <c:w val="0.22972319432293187"/>
          <c:h val="0.29308055243094611"/>
        </c:manualLayout>
      </c:layout>
      <c:overlay val="0"/>
      <c:spPr>
        <a:noFill/>
        <a:ln>
          <a:noFill/>
        </a:ln>
        <a:effectLst/>
      </c:spPr>
      <c:txPr>
        <a:bodyPr rot="0" spcFirstLastPara="1" vertOverflow="ellipsis" vert="horz" wrap="square" anchor="ctr" anchorCtr="1"/>
        <a:lstStyle/>
        <a:p>
          <a:pPr>
            <a:defRPr lang="en-029" sz="8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lgn="ctr" rtl="0">
        <a:defRPr lang="en-029" sz="8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376356671632262"/>
          <c:y val="0.16222243052951715"/>
          <c:w val="0.81866886571610986"/>
          <c:h val="0.58275699912510937"/>
        </c:manualLayout>
      </c:layout>
      <c:barChart>
        <c:barDir val="bar"/>
        <c:grouping val="clustered"/>
        <c:varyColors val="0"/>
        <c:ser>
          <c:idx val="0"/>
          <c:order val="0"/>
          <c:tx>
            <c:strRef>
              <c:f>'[DPR working file 2021.xlsx]Central Govt'!$A$51</c:f>
              <c:strCache>
                <c:ptCount val="1"/>
                <c:pt idx="0">
                  <c:v>USD</c:v>
                </c:pt>
              </c:strCache>
            </c:strRef>
          </c:tx>
          <c:spPr>
            <a:solidFill>
              <a:schemeClr val="accent1"/>
            </a:solidFill>
            <a:ln>
              <a:noFill/>
            </a:ln>
            <a:effectLst/>
          </c:spPr>
          <c:invertIfNegative val="0"/>
          <c:cat>
            <c:numRef>
              <c:f>'[DPR working file 2021.xlsx]Central Govt'!$B$50:$F$50</c:f>
              <c:numCache>
                <c:formatCode>General</c:formatCode>
                <c:ptCount val="5"/>
                <c:pt idx="0">
                  <c:v>2017</c:v>
                </c:pt>
                <c:pt idx="1">
                  <c:v>2018</c:v>
                </c:pt>
                <c:pt idx="2">
                  <c:v>2019</c:v>
                </c:pt>
                <c:pt idx="3">
                  <c:v>2020</c:v>
                </c:pt>
                <c:pt idx="4">
                  <c:v>2021</c:v>
                </c:pt>
              </c:numCache>
            </c:numRef>
          </c:cat>
          <c:val>
            <c:numRef>
              <c:f>'[DPR working file 2021.xlsx]Central Govt'!$B$51:$F$51</c:f>
              <c:numCache>
                <c:formatCode>#,##0.00</c:formatCode>
                <c:ptCount val="5"/>
                <c:pt idx="0" formatCode="[$$-409]#,##0.00">
                  <c:v>974.51650967400019</c:v>
                </c:pt>
                <c:pt idx="1">
                  <c:v>971.23702090499978</c:v>
                </c:pt>
                <c:pt idx="2" formatCode="[$$-409]#,##0.00">
                  <c:v>1072.2218976070003</c:v>
                </c:pt>
                <c:pt idx="3" formatCode="[$$-409]#,##0.00">
                  <c:v>1178.3091365639993</c:v>
                </c:pt>
                <c:pt idx="4" formatCode="[$$-409]#,##0.00">
                  <c:v>1491.8200095250004</c:v>
                </c:pt>
              </c:numCache>
            </c:numRef>
          </c:val>
          <c:extLst xmlns:c16r2="http://schemas.microsoft.com/office/drawing/2015/06/chart">
            <c:ext xmlns:c16="http://schemas.microsoft.com/office/drawing/2014/chart" uri="{C3380CC4-5D6E-409C-BE32-E72D297353CC}">
              <c16:uniqueId val="{00000000-347D-4BBC-9296-61DDB700D4E7}"/>
            </c:ext>
          </c:extLst>
        </c:ser>
        <c:ser>
          <c:idx val="1"/>
          <c:order val="1"/>
          <c:tx>
            <c:strRef>
              <c:f>'[DPR working file 2021.xlsx]Central Govt'!$A$52</c:f>
              <c:strCache>
                <c:ptCount val="1"/>
                <c:pt idx="0">
                  <c:v>XCD</c:v>
                </c:pt>
              </c:strCache>
            </c:strRef>
          </c:tx>
          <c:spPr>
            <a:solidFill>
              <a:schemeClr val="accent2"/>
            </a:solidFill>
            <a:ln>
              <a:noFill/>
            </a:ln>
            <a:effectLst/>
          </c:spPr>
          <c:invertIfNegative val="0"/>
          <c:cat>
            <c:numRef>
              <c:f>'[DPR working file 2021.xlsx]Central Govt'!$B$50:$F$50</c:f>
              <c:numCache>
                <c:formatCode>General</c:formatCode>
                <c:ptCount val="5"/>
                <c:pt idx="0">
                  <c:v>2017</c:v>
                </c:pt>
                <c:pt idx="1">
                  <c:v>2018</c:v>
                </c:pt>
                <c:pt idx="2">
                  <c:v>2019</c:v>
                </c:pt>
                <c:pt idx="3">
                  <c:v>2020</c:v>
                </c:pt>
                <c:pt idx="4">
                  <c:v>2021</c:v>
                </c:pt>
              </c:numCache>
            </c:numRef>
          </c:cat>
          <c:val>
            <c:numRef>
              <c:f>'[DPR working file 2021.xlsx]Central Govt'!$B$52:$F$52</c:f>
              <c:numCache>
                <c:formatCode>#,##0.00</c:formatCode>
                <c:ptCount val="5"/>
                <c:pt idx="0" formatCode="[$$-409]#,##0.00">
                  <c:v>1730.0681147700002</c:v>
                </c:pt>
                <c:pt idx="1">
                  <c:v>1871.1506759700003</c:v>
                </c:pt>
                <c:pt idx="2" formatCode="[$$-409]#,##0.00">
                  <c:v>1899.0092448929995</c:v>
                </c:pt>
                <c:pt idx="3" formatCode="[$$-409]#,##0.00">
                  <c:v>2030.3650278179998</c:v>
                </c:pt>
                <c:pt idx="4" formatCode="[$$-409]#,##0.00">
                  <c:v>2014.2587033910008</c:v>
                </c:pt>
              </c:numCache>
            </c:numRef>
          </c:val>
          <c:extLst xmlns:c16r2="http://schemas.microsoft.com/office/drawing/2015/06/chart">
            <c:ext xmlns:c16="http://schemas.microsoft.com/office/drawing/2014/chart" uri="{C3380CC4-5D6E-409C-BE32-E72D297353CC}">
              <c16:uniqueId val="{00000001-347D-4BBC-9296-61DDB700D4E7}"/>
            </c:ext>
          </c:extLst>
        </c:ser>
        <c:ser>
          <c:idx val="2"/>
          <c:order val="2"/>
          <c:tx>
            <c:strRef>
              <c:f>'[DPR working file 2021.xlsx]Central Govt'!$A$53</c:f>
              <c:strCache>
                <c:ptCount val="1"/>
                <c:pt idx="0">
                  <c:v>EUR</c:v>
                </c:pt>
              </c:strCache>
            </c:strRef>
          </c:tx>
          <c:spPr>
            <a:solidFill>
              <a:schemeClr val="accent3"/>
            </a:solidFill>
            <a:ln>
              <a:noFill/>
            </a:ln>
            <a:effectLst/>
          </c:spPr>
          <c:invertIfNegative val="0"/>
          <c:cat>
            <c:numRef>
              <c:f>'[DPR working file 2021.xlsx]Central Govt'!$B$50:$F$50</c:f>
              <c:numCache>
                <c:formatCode>General</c:formatCode>
                <c:ptCount val="5"/>
                <c:pt idx="0">
                  <c:v>2017</c:v>
                </c:pt>
                <c:pt idx="1">
                  <c:v>2018</c:v>
                </c:pt>
                <c:pt idx="2">
                  <c:v>2019</c:v>
                </c:pt>
                <c:pt idx="3">
                  <c:v>2020</c:v>
                </c:pt>
                <c:pt idx="4">
                  <c:v>2021</c:v>
                </c:pt>
              </c:numCache>
            </c:numRef>
          </c:cat>
          <c:val>
            <c:numRef>
              <c:f>'[DPR working file 2021.xlsx]Central Govt'!$B$53:$F$53</c:f>
              <c:numCache>
                <c:formatCode>#,##0.00</c:formatCode>
                <c:ptCount val="5"/>
                <c:pt idx="0" formatCode="[$$-409]#,##0.00">
                  <c:v>12.08045311439</c:v>
                </c:pt>
                <c:pt idx="1">
                  <c:v>9.2481659547760007</c:v>
                </c:pt>
                <c:pt idx="2" formatCode="[$$-409]#,##0.00">
                  <c:v>6.7861035360000015</c:v>
                </c:pt>
                <c:pt idx="3" formatCode="[$$-409]#,##0.00">
                  <c:v>4.959049139800201</c:v>
                </c:pt>
                <c:pt idx="4" formatCode="[$$-409]#,##0.00">
                  <c:v>4.7573875285727008</c:v>
                </c:pt>
              </c:numCache>
            </c:numRef>
          </c:val>
          <c:extLst xmlns:c16r2="http://schemas.microsoft.com/office/drawing/2015/06/chart">
            <c:ext xmlns:c16="http://schemas.microsoft.com/office/drawing/2014/chart" uri="{C3380CC4-5D6E-409C-BE32-E72D297353CC}">
              <c16:uniqueId val="{00000002-347D-4BBC-9296-61DDB700D4E7}"/>
            </c:ext>
          </c:extLst>
        </c:ser>
        <c:ser>
          <c:idx val="3"/>
          <c:order val="3"/>
          <c:tx>
            <c:strRef>
              <c:f>'[DPR working file 2021.xlsx]Central Govt'!$A$54</c:f>
              <c:strCache>
                <c:ptCount val="1"/>
                <c:pt idx="0">
                  <c:v>KWD</c:v>
                </c:pt>
              </c:strCache>
            </c:strRef>
          </c:tx>
          <c:spPr>
            <a:solidFill>
              <a:srgbClr val="FFFF00"/>
            </a:solidFill>
            <a:ln>
              <a:noFill/>
            </a:ln>
            <a:effectLst/>
          </c:spPr>
          <c:invertIfNegative val="0"/>
          <c:cat>
            <c:numRef>
              <c:f>'[DPR working file 2021.xlsx]Central Govt'!$B$50:$F$50</c:f>
              <c:numCache>
                <c:formatCode>General</c:formatCode>
                <c:ptCount val="5"/>
                <c:pt idx="0">
                  <c:v>2017</c:v>
                </c:pt>
                <c:pt idx="1">
                  <c:v>2018</c:v>
                </c:pt>
                <c:pt idx="2">
                  <c:v>2019</c:v>
                </c:pt>
                <c:pt idx="3">
                  <c:v>2020</c:v>
                </c:pt>
                <c:pt idx="4">
                  <c:v>2021</c:v>
                </c:pt>
              </c:numCache>
            </c:numRef>
          </c:cat>
          <c:val>
            <c:numRef>
              <c:f>'[DPR working file 2021.xlsx]Central Govt'!$B$54:$F$54</c:f>
              <c:numCache>
                <c:formatCode>#,##0.00</c:formatCode>
                <c:ptCount val="5"/>
                <c:pt idx="0" formatCode="[$$-409]#,##0.00">
                  <c:v>22.351530534481004</c:v>
                </c:pt>
                <c:pt idx="1">
                  <c:v>19.513958910016999</c:v>
                </c:pt>
                <c:pt idx="2" formatCode="[$$-409]#,##0.00">
                  <c:v>16.512019490736002</c:v>
                </c:pt>
                <c:pt idx="3" formatCode="[$$-409]#,##0.00">
                  <c:v>14.830423760927999</c:v>
                </c:pt>
                <c:pt idx="4" formatCode="[$$-409]#,##0.00">
                  <c:v>12.711474870003</c:v>
                </c:pt>
              </c:numCache>
            </c:numRef>
          </c:val>
          <c:extLst xmlns:c16r2="http://schemas.microsoft.com/office/drawing/2015/06/chart">
            <c:ext xmlns:c16="http://schemas.microsoft.com/office/drawing/2014/chart" uri="{C3380CC4-5D6E-409C-BE32-E72D297353CC}">
              <c16:uniqueId val="{00000003-347D-4BBC-9296-61DDB700D4E7}"/>
            </c:ext>
          </c:extLst>
        </c:ser>
        <c:ser>
          <c:idx val="4"/>
          <c:order val="4"/>
          <c:tx>
            <c:strRef>
              <c:f>'[DPR working file 2021.xlsx]Central Govt'!$A$55</c:f>
              <c:strCache>
                <c:ptCount val="1"/>
                <c:pt idx="0">
                  <c:v>SDR</c:v>
                </c:pt>
              </c:strCache>
            </c:strRef>
          </c:tx>
          <c:spPr>
            <a:solidFill>
              <a:schemeClr val="accent6"/>
            </a:solidFill>
            <a:ln>
              <a:noFill/>
            </a:ln>
            <a:effectLst/>
          </c:spPr>
          <c:invertIfNegative val="0"/>
          <c:cat>
            <c:numRef>
              <c:f>'[DPR working file 2021.xlsx]Central Govt'!$B$50:$F$50</c:f>
              <c:numCache>
                <c:formatCode>General</c:formatCode>
                <c:ptCount val="5"/>
                <c:pt idx="0">
                  <c:v>2017</c:v>
                </c:pt>
                <c:pt idx="1">
                  <c:v>2018</c:v>
                </c:pt>
                <c:pt idx="2">
                  <c:v>2019</c:v>
                </c:pt>
                <c:pt idx="3">
                  <c:v>2020</c:v>
                </c:pt>
                <c:pt idx="4">
                  <c:v>2021</c:v>
                </c:pt>
              </c:numCache>
            </c:numRef>
          </c:cat>
          <c:val>
            <c:numRef>
              <c:f>'[DPR working file 2021.xlsx]Central Govt'!$B$55:$F$55</c:f>
              <c:numCache>
                <c:formatCode>#,##0.00</c:formatCode>
                <c:ptCount val="5"/>
                <c:pt idx="0" formatCode="[$$-409]#,##0.00">
                  <c:v>244.45545944439604</c:v>
                </c:pt>
                <c:pt idx="1">
                  <c:v>236.98617104489557</c:v>
                </c:pt>
                <c:pt idx="2" formatCode="[$$-409]#,##0.00">
                  <c:v>230.20501028656398</c:v>
                </c:pt>
                <c:pt idx="3" formatCode="[$$-409]#,##0.00">
                  <c:v>332.6609273436128</c:v>
                </c:pt>
                <c:pt idx="4" formatCode="[$$-409]#,##0.00">
                  <c:v>340.80025664919515</c:v>
                </c:pt>
              </c:numCache>
            </c:numRef>
          </c:val>
          <c:extLst xmlns:c16r2="http://schemas.microsoft.com/office/drawing/2015/06/chart">
            <c:ext xmlns:c16="http://schemas.microsoft.com/office/drawing/2014/chart" uri="{C3380CC4-5D6E-409C-BE32-E72D297353CC}">
              <c16:uniqueId val="{00000004-347D-4BBC-9296-61DDB700D4E7}"/>
            </c:ext>
          </c:extLst>
        </c:ser>
        <c:dLbls>
          <c:showLegendKey val="0"/>
          <c:showVal val="0"/>
          <c:showCatName val="0"/>
          <c:showSerName val="0"/>
          <c:showPercent val="0"/>
          <c:showBubbleSize val="0"/>
        </c:dLbls>
        <c:gapWidth val="150"/>
        <c:axId val="291583576"/>
        <c:axId val="291587104"/>
      </c:barChart>
      <c:catAx>
        <c:axId val="291583576"/>
        <c:scaling>
          <c:orientation val="minMax"/>
        </c:scaling>
        <c:delete val="0"/>
        <c:axPos val="l"/>
        <c:numFmt formatCode="General" sourceLinked="1"/>
        <c:majorTickMark val="none"/>
        <c:minorTickMark val="none"/>
        <c:tickLblPos val="nextTo"/>
        <c:spPr>
          <a:noFill/>
          <a:ln w="9525">
            <a:no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1587104"/>
        <c:crosses val="autoZero"/>
        <c:auto val="1"/>
        <c:lblAlgn val="ctr"/>
        <c:lblOffset val="100"/>
        <c:noMultiLvlLbl val="0"/>
      </c:catAx>
      <c:valAx>
        <c:axId val="291587104"/>
        <c:scaling>
          <c:orientation val="minMax"/>
        </c:scaling>
        <c:delete val="0"/>
        <c:axPos val="b"/>
        <c:majorGridlines>
          <c:spPr>
            <a:ln w="9525">
              <a:noFill/>
              <a:round/>
            </a:ln>
            <a:effectLst/>
          </c:spPr>
        </c:majorGridlines>
        <c:title>
          <c:tx>
            <c:rich>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029"/>
                  <a:t>Millions (XCD)</a:t>
                </a:r>
              </a:p>
            </c:rich>
          </c:tx>
          <c:layout>
            <c:manualLayout>
              <c:xMode val="edge"/>
              <c:yMode val="edge"/>
              <c:x val="0.39168794779031002"/>
              <c:y val="0.8373927217431155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1583576"/>
        <c:crosses val="autoZero"/>
        <c:crossBetween val="between"/>
      </c:valAx>
      <c:spPr>
        <a:noFill/>
        <a:ln>
          <a:noFill/>
        </a:ln>
        <a:effectLst/>
      </c:spPr>
    </c:plotArea>
    <c:legend>
      <c:legendPos val="b"/>
      <c:layout>
        <c:manualLayout>
          <c:xMode val="edge"/>
          <c:yMode val="edge"/>
          <c:x val="0.238599524721572"/>
          <c:y val="0.90230648252301793"/>
          <c:w val="0.53781596557187106"/>
          <c:h val="9.7693517476982045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defRPr sz="80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973950131233597"/>
          <c:y val="0.13759259259259257"/>
          <c:w val="0.84026049868766406"/>
          <c:h val="0.65403215223097111"/>
        </c:manualLayout>
      </c:layout>
      <c:barChart>
        <c:barDir val="col"/>
        <c:grouping val="stacked"/>
        <c:varyColors val="0"/>
        <c:ser>
          <c:idx val="0"/>
          <c:order val="0"/>
          <c:tx>
            <c:strRef>
              <c:f>'[DPR working file 2021.xlsx]Instruments'!$A$4</c:f>
              <c:strCache>
                <c:ptCount val="1"/>
                <c:pt idx="0">
                  <c:v>Bonds</c:v>
                </c:pt>
              </c:strCache>
            </c:strRef>
          </c:tx>
          <c:spPr>
            <a:solidFill>
              <a:schemeClr val="accent1"/>
            </a:solidFill>
            <a:ln>
              <a:noFill/>
            </a:ln>
            <a:effectLst/>
          </c:spPr>
          <c:invertIfNegative val="0"/>
          <c:cat>
            <c:numRef>
              <c:f>'[DPR working file 2021.xlsx]Instruments'!$B$2:$F$2</c:f>
              <c:numCache>
                <c:formatCode>General</c:formatCode>
                <c:ptCount val="5"/>
                <c:pt idx="0">
                  <c:v>2017</c:v>
                </c:pt>
                <c:pt idx="1">
                  <c:v>2018</c:v>
                </c:pt>
                <c:pt idx="2">
                  <c:v>2019</c:v>
                </c:pt>
                <c:pt idx="3">
                  <c:v>2020</c:v>
                </c:pt>
                <c:pt idx="4">
                  <c:v>2021</c:v>
                </c:pt>
              </c:numCache>
            </c:numRef>
          </c:cat>
          <c:val>
            <c:numRef>
              <c:f>'[DPR working file 2021.xlsx]Instruments'!$B$4:$F$4</c:f>
              <c:numCache>
                <c:formatCode>[$$-409]#,##0.00</c:formatCode>
                <c:ptCount val="5"/>
                <c:pt idx="0">
                  <c:v>619.37276069699999</c:v>
                </c:pt>
                <c:pt idx="1">
                  <c:v>607.00394284000004</c:v>
                </c:pt>
                <c:pt idx="2">
                  <c:v>669.28679999999997</c:v>
                </c:pt>
                <c:pt idx="3">
                  <c:v>650.45552037000004</c:v>
                </c:pt>
                <c:pt idx="4">
                  <c:v>637.0586406499998</c:v>
                </c:pt>
              </c:numCache>
            </c:numRef>
          </c:val>
          <c:extLst xmlns:c16r2="http://schemas.microsoft.com/office/drawing/2015/06/chart">
            <c:ext xmlns:c16="http://schemas.microsoft.com/office/drawing/2014/chart" uri="{C3380CC4-5D6E-409C-BE32-E72D297353CC}">
              <c16:uniqueId val="{00000000-4386-42ED-9419-B93BA762025F}"/>
            </c:ext>
          </c:extLst>
        </c:ser>
        <c:ser>
          <c:idx val="1"/>
          <c:order val="1"/>
          <c:tx>
            <c:strRef>
              <c:f>'[DPR working file 2021.xlsx]Instruments'!$A$5</c:f>
              <c:strCache>
                <c:ptCount val="1"/>
                <c:pt idx="0">
                  <c:v>Notes</c:v>
                </c:pt>
              </c:strCache>
            </c:strRef>
          </c:tx>
          <c:spPr>
            <a:solidFill>
              <a:schemeClr val="accent2"/>
            </a:solidFill>
            <a:ln>
              <a:noFill/>
            </a:ln>
            <a:effectLst/>
          </c:spPr>
          <c:invertIfNegative val="0"/>
          <c:cat>
            <c:numRef>
              <c:f>'[DPR working file 2021.xlsx]Instruments'!$B$2:$F$2</c:f>
              <c:numCache>
                <c:formatCode>General</c:formatCode>
                <c:ptCount val="5"/>
                <c:pt idx="0">
                  <c:v>2017</c:v>
                </c:pt>
                <c:pt idx="1">
                  <c:v>2018</c:v>
                </c:pt>
                <c:pt idx="2">
                  <c:v>2019</c:v>
                </c:pt>
                <c:pt idx="3">
                  <c:v>2020</c:v>
                </c:pt>
                <c:pt idx="4">
                  <c:v>2021</c:v>
                </c:pt>
              </c:numCache>
            </c:numRef>
          </c:cat>
          <c:val>
            <c:numRef>
              <c:f>'[DPR working file 2021.xlsx]Instruments'!$B$5:$F$5</c:f>
              <c:numCache>
                <c:formatCode>[$$-409]#,##0.00</c:formatCode>
                <c:ptCount val="5"/>
                <c:pt idx="0">
                  <c:v>94.791899999999998</c:v>
                </c:pt>
                <c:pt idx="1">
                  <c:v>119.7919</c:v>
                </c:pt>
                <c:pt idx="2">
                  <c:v>86.621899999999997</c:v>
                </c:pt>
                <c:pt idx="3">
                  <c:v>71.099999999999994</c:v>
                </c:pt>
                <c:pt idx="4">
                  <c:v>68</c:v>
                </c:pt>
              </c:numCache>
            </c:numRef>
          </c:val>
          <c:extLst xmlns:c16r2="http://schemas.microsoft.com/office/drawing/2015/06/chart">
            <c:ext xmlns:c16="http://schemas.microsoft.com/office/drawing/2014/chart" uri="{C3380CC4-5D6E-409C-BE32-E72D297353CC}">
              <c16:uniqueId val="{00000001-4386-42ED-9419-B93BA762025F}"/>
            </c:ext>
          </c:extLst>
        </c:ser>
        <c:ser>
          <c:idx val="2"/>
          <c:order val="2"/>
          <c:tx>
            <c:strRef>
              <c:f>'[DPR working file 2021.xlsx]Instruments'!$A$6</c:f>
              <c:strCache>
                <c:ptCount val="1"/>
                <c:pt idx="0">
                  <c:v>Treasury Bills</c:v>
                </c:pt>
              </c:strCache>
            </c:strRef>
          </c:tx>
          <c:spPr>
            <a:solidFill>
              <a:schemeClr val="accent3"/>
            </a:solidFill>
            <a:ln>
              <a:noFill/>
            </a:ln>
            <a:effectLst/>
          </c:spPr>
          <c:invertIfNegative val="0"/>
          <c:cat>
            <c:numRef>
              <c:f>'[DPR working file 2021.xlsx]Instruments'!$B$2:$F$2</c:f>
              <c:numCache>
                <c:formatCode>General</c:formatCode>
                <c:ptCount val="5"/>
                <c:pt idx="0">
                  <c:v>2017</c:v>
                </c:pt>
                <c:pt idx="1">
                  <c:v>2018</c:v>
                </c:pt>
                <c:pt idx="2">
                  <c:v>2019</c:v>
                </c:pt>
                <c:pt idx="3">
                  <c:v>2020</c:v>
                </c:pt>
                <c:pt idx="4">
                  <c:v>2021</c:v>
                </c:pt>
              </c:numCache>
            </c:numRef>
          </c:cat>
          <c:val>
            <c:numRef>
              <c:f>'[DPR working file 2021.xlsx]Instruments'!$B$6:$F$6</c:f>
              <c:numCache>
                <c:formatCode>[$$-409]#,##0.00</c:formatCode>
                <c:ptCount val="5"/>
                <c:pt idx="0">
                  <c:v>141.89699999999999</c:v>
                </c:pt>
                <c:pt idx="1">
                  <c:v>139.65579975</c:v>
                </c:pt>
                <c:pt idx="2">
                  <c:v>119.89561508000001</c:v>
                </c:pt>
                <c:pt idx="3">
                  <c:v>101.267</c:v>
                </c:pt>
                <c:pt idx="4">
                  <c:v>113.565</c:v>
                </c:pt>
              </c:numCache>
            </c:numRef>
          </c:val>
          <c:extLst xmlns:c16r2="http://schemas.microsoft.com/office/drawing/2015/06/chart">
            <c:ext xmlns:c16="http://schemas.microsoft.com/office/drawing/2014/chart" uri="{C3380CC4-5D6E-409C-BE32-E72D297353CC}">
              <c16:uniqueId val="{00000002-4386-42ED-9419-B93BA762025F}"/>
            </c:ext>
          </c:extLst>
        </c:ser>
        <c:dLbls>
          <c:showLegendKey val="0"/>
          <c:showVal val="0"/>
          <c:showCatName val="0"/>
          <c:showSerName val="0"/>
          <c:showPercent val="0"/>
          <c:showBubbleSize val="0"/>
        </c:dLbls>
        <c:gapWidth val="150"/>
        <c:overlap val="100"/>
        <c:axId val="291583968"/>
        <c:axId val="291584360"/>
      </c:barChart>
      <c:catAx>
        <c:axId val="291583968"/>
        <c:scaling>
          <c:orientation val="minMax"/>
        </c:scaling>
        <c:delete val="0"/>
        <c:axPos val="b"/>
        <c:numFmt formatCode="General" sourceLinked="1"/>
        <c:majorTickMark val="none"/>
        <c:minorTickMark val="none"/>
        <c:tickLblPos val="nextTo"/>
        <c:spPr>
          <a:noFill/>
          <a:ln w="9525">
            <a:noFill/>
            <a:round/>
          </a:ln>
          <a:effectLst/>
        </c:spPr>
        <c:txPr>
          <a:bodyPr rot="-60000000" spcFirstLastPara="1" vertOverflow="ellipsis" vert="horz" wrap="square" anchor="ctr" anchorCtr="1"/>
          <a:lstStyle/>
          <a:p>
            <a:pPr algn="ctr" rtl="0">
              <a:defRPr lang="en-029"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1584360"/>
        <c:crosses val="autoZero"/>
        <c:auto val="1"/>
        <c:lblAlgn val="ctr"/>
        <c:lblOffset val="100"/>
        <c:noMultiLvlLbl val="0"/>
      </c:catAx>
      <c:valAx>
        <c:axId val="291584360"/>
        <c:scaling>
          <c:orientation val="minMax"/>
        </c:scaling>
        <c:delete val="0"/>
        <c:axPos val="l"/>
        <c:majorGridlines>
          <c:spPr>
            <a:ln w="9525">
              <a:noFill/>
              <a:round/>
            </a:ln>
            <a:effectLst/>
          </c:spPr>
        </c:majorGridlines>
        <c:title>
          <c:tx>
            <c:rich>
              <a:bodyPr rot="-5400000" spcFirstLastPara="1" vertOverflow="ellipsis" vert="horz" wrap="square" anchor="ctr" anchorCtr="1"/>
              <a:lstStyle/>
              <a:p>
                <a:pPr>
                  <a:defRPr lang="en-029"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Millions (XCD)</a:t>
                </a:r>
              </a:p>
            </c:rich>
          </c:tx>
          <c:overlay val="0"/>
          <c:spPr>
            <a:noFill/>
            <a:ln>
              <a:noFill/>
            </a:ln>
            <a:effectLst/>
          </c:spPr>
          <c:txPr>
            <a:bodyPr rot="-5400000" spcFirstLastPara="1" vertOverflow="ellipsis" vert="horz" wrap="square" anchor="ctr" anchorCtr="1"/>
            <a:lstStyle/>
            <a:p>
              <a:pPr>
                <a:defRPr lang="en-029"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lgn="ctr" rtl="0">
              <a:defRPr lang="en-029"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1583968"/>
        <c:crosses val="autoZero"/>
        <c:crossBetween val="between"/>
        <c:majorUnit val="200"/>
      </c:valAx>
      <c:spPr>
        <a:noFill/>
        <a:ln w="9525">
          <a:noFill/>
        </a:ln>
        <a:effectLst/>
      </c:spPr>
    </c:plotArea>
    <c:legend>
      <c:legendPos val="b"/>
      <c:overlay val="0"/>
      <c:spPr>
        <a:noFill/>
        <a:ln>
          <a:noFill/>
        </a:ln>
        <a:effectLst/>
      </c:spPr>
      <c:txPr>
        <a:bodyPr rot="0" spcFirstLastPara="1" vertOverflow="ellipsis" vert="horz" wrap="square" anchor="ctr" anchorCtr="1"/>
        <a:lstStyle/>
        <a:p>
          <a:pPr algn="ctr" rtl="0">
            <a:defRPr lang="en-029"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lgn="ctr">
        <a:defRPr lang="en-029"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328169048313409"/>
          <c:y val="0.1388888888888889"/>
          <c:w val="0.76656398852921159"/>
          <c:h val="0.65684862308878056"/>
        </c:manualLayout>
      </c:layout>
      <c:barChart>
        <c:barDir val="col"/>
        <c:grouping val="stacked"/>
        <c:varyColors val="0"/>
        <c:ser>
          <c:idx val="0"/>
          <c:order val="0"/>
          <c:tx>
            <c:strRef>
              <c:f>'[DPR working file 2021.xlsx]Instruments'!$A$13</c:f>
              <c:strCache>
                <c:ptCount val="1"/>
                <c:pt idx="0">
                  <c:v>Bonds</c:v>
                </c:pt>
              </c:strCache>
            </c:strRef>
          </c:tx>
          <c:spPr>
            <a:solidFill>
              <a:schemeClr val="accent1"/>
            </a:solidFill>
            <a:ln>
              <a:noFill/>
            </a:ln>
            <a:effectLst/>
          </c:spPr>
          <c:invertIfNegative val="0"/>
          <c:cat>
            <c:numRef>
              <c:f>'[DPR working file 2021.xlsx]Instruments'!$B$2:$F$2</c:f>
              <c:numCache>
                <c:formatCode>General</c:formatCode>
                <c:ptCount val="5"/>
                <c:pt idx="0">
                  <c:v>2017</c:v>
                </c:pt>
                <c:pt idx="1">
                  <c:v>2018</c:v>
                </c:pt>
                <c:pt idx="2">
                  <c:v>2019</c:v>
                </c:pt>
                <c:pt idx="3">
                  <c:v>2020</c:v>
                </c:pt>
                <c:pt idx="4">
                  <c:v>2021</c:v>
                </c:pt>
              </c:numCache>
            </c:numRef>
          </c:cat>
          <c:val>
            <c:numRef>
              <c:f>'[DPR working file 2021.xlsx]Instruments'!$B$13:$F$13</c:f>
              <c:numCache>
                <c:formatCode>[$$-409]#,##0.00</c:formatCode>
                <c:ptCount val="5"/>
                <c:pt idx="0">
                  <c:v>553.09772405599995</c:v>
                </c:pt>
                <c:pt idx="1">
                  <c:v>631.46103406499992</c:v>
                </c:pt>
                <c:pt idx="2">
                  <c:v>610.84211789999995</c:v>
                </c:pt>
                <c:pt idx="3">
                  <c:v>733.13326690199995</c:v>
                </c:pt>
                <c:pt idx="4">
                  <c:v>737.41321126000003</c:v>
                </c:pt>
              </c:numCache>
            </c:numRef>
          </c:val>
          <c:extLst xmlns:c16r2="http://schemas.microsoft.com/office/drawing/2015/06/chart">
            <c:ext xmlns:c16="http://schemas.microsoft.com/office/drawing/2014/chart" uri="{C3380CC4-5D6E-409C-BE32-E72D297353CC}">
              <c16:uniqueId val="{00000000-DBE9-483E-AF6E-B3AC1223574B}"/>
            </c:ext>
          </c:extLst>
        </c:ser>
        <c:ser>
          <c:idx val="1"/>
          <c:order val="1"/>
          <c:tx>
            <c:strRef>
              <c:f>'[DPR working file 2021.xlsx]Instruments'!$A$14</c:f>
              <c:strCache>
                <c:ptCount val="1"/>
                <c:pt idx="0">
                  <c:v>Notes</c:v>
                </c:pt>
              </c:strCache>
            </c:strRef>
          </c:tx>
          <c:spPr>
            <a:solidFill>
              <a:schemeClr val="accent2"/>
            </a:solidFill>
            <a:ln>
              <a:noFill/>
            </a:ln>
            <a:effectLst/>
          </c:spPr>
          <c:invertIfNegative val="0"/>
          <c:cat>
            <c:numRef>
              <c:f>'[DPR working file 2021.xlsx]Instruments'!$B$2:$F$2</c:f>
              <c:numCache>
                <c:formatCode>General</c:formatCode>
                <c:ptCount val="5"/>
                <c:pt idx="0">
                  <c:v>2017</c:v>
                </c:pt>
                <c:pt idx="1">
                  <c:v>2018</c:v>
                </c:pt>
                <c:pt idx="2">
                  <c:v>2019</c:v>
                </c:pt>
                <c:pt idx="3">
                  <c:v>2020</c:v>
                </c:pt>
                <c:pt idx="4">
                  <c:v>2021</c:v>
                </c:pt>
              </c:numCache>
            </c:numRef>
          </c:cat>
          <c:val>
            <c:numRef>
              <c:f>'[DPR working file 2021.xlsx]Instruments'!$B$14:$F$14</c:f>
              <c:numCache>
                <c:formatCode>[$$-409]#,##0.00</c:formatCode>
                <c:ptCount val="5"/>
                <c:pt idx="0">
                  <c:v>323.22953626299994</c:v>
                </c:pt>
                <c:pt idx="1">
                  <c:v>499.99470519099998</c:v>
                </c:pt>
                <c:pt idx="2">
                  <c:v>588.98025216400004</c:v>
                </c:pt>
                <c:pt idx="3">
                  <c:v>565.51022408200026</c:v>
                </c:pt>
                <c:pt idx="4">
                  <c:v>589.35633286899997</c:v>
                </c:pt>
              </c:numCache>
            </c:numRef>
          </c:val>
          <c:extLst xmlns:c16r2="http://schemas.microsoft.com/office/drawing/2015/06/chart">
            <c:ext xmlns:c16="http://schemas.microsoft.com/office/drawing/2014/chart" uri="{C3380CC4-5D6E-409C-BE32-E72D297353CC}">
              <c16:uniqueId val="{00000001-DBE9-483E-AF6E-B3AC1223574B}"/>
            </c:ext>
          </c:extLst>
        </c:ser>
        <c:ser>
          <c:idx val="2"/>
          <c:order val="2"/>
          <c:tx>
            <c:strRef>
              <c:f>'[DPR working file 2021.xlsx]Instruments'!$A$15</c:f>
              <c:strCache>
                <c:ptCount val="1"/>
                <c:pt idx="0">
                  <c:v>Treasury Bills</c:v>
                </c:pt>
              </c:strCache>
            </c:strRef>
          </c:tx>
          <c:spPr>
            <a:solidFill>
              <a:schemeClr val="accent3"/>
            </a:solidFill>
            <a:ln>
              <a:noFill/>
            </a:ln>
            <a:effectLst/>
          </c:spPr>
          <c:invertIfNegative val="0"/>
          <c:cat>
            <c:numRef>
              <c:f>'[DPR working file 2021.xlsx]Instruments'!$B$2:$F$2</c:f>
              <c:numCache>
                <c:formatCode>General</c:formatCode>
                <c:ptCount val="5"/>
                <c:pt idx="0">
                  <c:v>2017</c:v>
                </c:pt>
                <c:pt idx="1">
                  <c:v>2018</c:v>
                </c:pt>
                <c:pt idx="2">
                  <c:v>2019</c:v>
                </c:pt>
                <c:pt idx="3">
                  <c:v>2020</c:v>
                </c:pt>
                <c:pt idx="4">
                  <c:v>2021</c:v>
                </c:pt>
              </c:numCache>
            </c:numRef>
          </c:cat>
          <c:val>
            <c:numRef>
              <c:f>'[DPR working file 2021.xlsx]Instruments'!$B$15:$F$15</c:f>
              <c:numCache>
                <c:formatCode>[$$-409]#,##0.00</c:formatCode>
                <c:ptCount val="5"/>
                <c:pt idx="0">
                  <c:v>355.39588299800005</c:v>
                </c:pt>
                <c:pt idx="1">
                  <c:v>222.71551875500006</c:v>
                </c:pt>
                <c:pt idx="2">
                  <c:v>223.88647248299998</c:v>
                </c:pt>
                <c:pt idx="3">
                  <c:v>229.47412742600002</c:v>
                </c:pt>
                <c:pt idx="4">
                  <c:v>251.82615921200002</c:v>
                </c:pt>
              </c:numCache>
            </c:numRef>
          </c:val>
          <c:extLst xmlns:c16r2="http://schemas.microsoft.com/office/drawing/2015/06/chart">
            <c:ext xmlns:c16="http://schemas.microsoft.com/office/drawing/2014/chart" uri="{C3380CC4-5D6E-409C-BE32-E72D297353CC}">
              <c16:uniqueId val="{00000002-DBE9-483E-AF6E-B3AC1223574B}"/>
            </c:ext>
          </c:extLst>
        </c:ser>
        <c:dLbls>
          <c:showLegendKey val="0"/>
          <c:showVal val="0"/>
          <c:showCatName val="0"/>
          <c:showSerName val="0"/>
          <c:showPercent val="0"/>
          <c:showBubbleSize val="0"/>
        </c:dLbls>
        <c:gapWidth val="150"/>
        <c:overlap val="100"/>
        <c:axId val="293252696"/>
        <c:axId val="293254264"/>
      </c:barChart>
      <c:catAx>
        <c:axId val="293252696"/>
        <c:scaling>
          <c:orientation val="minMax"/>
        </c:scaling>
        <c:delete val="0"/>
        <c:axPos val="b"/>
        <c:numFmt formatCode="General" sourceLinked="1"/>
        <c:majorTickMark val="none"/>
        <c:minorTickMark val="none"/>
        <c:tickLblPos val="nextTo"/>
        <c:spPr>
          <a:noFill/>
          <a:ln w="9525">
            <a:no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3254264"/>
        <c:crosses val="autoZero"/>
        <c:auto val="1"/>
        <c:lblAlgn val="ctr"/>
        <c:lblOffset val="100"/>
        <c:noMultiLvlLbl val="0"/>
      </c:catAx>
      <c:valAx>
        <c:axId val="293254264"/>
        <c:scaling>
          <c:orientation val="minMax"/>
          <c:max val="1800"/>
          <c:min val="0"/>
        </c:scaling>
        <c:delete val="0"/>
        <c:axPos val="l"/>
        <c:majorGridlines>
          <c:spPr>
            <a:ln w="9525">
              <a:no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Millions (XCD)</a:t>
                </a:r>
              </a:p>
            </c:rich>
          </c:tx>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3252696"/>
        <c:crosses val="autoZero"/>
        <c:crossBetween val="between"/>
        <c:majorUnit val="400"/>
      </c:valAx>
      <c:spPr>
        <a:noFill/>
        <a:ln>
          <a:noFill/>
        </a:ln>
        <a:effectLst/>
      </c:spPr>
    </c:plotArea>
    <c:legend>
      <c:legendPos val="b"/>
      <c:layout>
        <c:manualLayout>
          <c:xMode val="edge"/>
          <c:yMode val="edge"/>
          <c:x val="0.25065434529017205"/>
          <c:y val="0.90230648252301793"/>
          <c:w val="0.49869130941965589"/>
          <c:h val="9.7693517476982045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08517060367454"/>
          <c:y val="0.15197965298585464"/>
          <c:w val="0.73370242782152229"/>
          <c:h val="0.658740157480315"/>
        </c:manualLayout>
      </c:layout>
      <c:barChart>
        <c:barDir val="col"/>
        <c:grouping val="clustered"/>
        <c:varyColors val="0"/>
        <c:ser>
          <c:idx val="0"/>
          <c:order val="0"/>
          <c:tx>
            <c:strRef>
              <c:f>'[DPR working file 2021.xlsx] Debt Service + Disbursements'!$A$6</c:f>
              <c:strCache>
                <c:ptCount val="1"/>
                <c:pt idx="0">
                  <c:v>External Debt Service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'[DPR working file 2021.xlsx] Debt Service + Disbursements'!$B$4:$F$4</c:f>
              <c:numCache>
                <c:formatCode>General</c:formatCode>
                <c:ptCount val="5"/>
                <c:pt idx="0">
                  <c:v>2017</c:v>
                </c:pt>
                <c:pt idx="1">
                  <c:v>2018</c:v>
                </c:pt>
                <c:pt idx="2">
                  <c:v>2019</c:v>
                </c:pt>
                <c:pt idx="3">
                  <c:v>2020</c:v>
                </c:pt>
                <c:pt idx="4">
                  <c:v>2021</c:v>
                </c:pt>
              </c:numCache>
            </c:numRef>
          </c:cat>
          <c:val>
            <c:numRef>
              <c:f>'[DPR working file 2021.xlsx] Debt Service + Disbursements'!$B$6:$F$6</c:f>
              <c:numCache>
                <c:formatCode>#,##0.0</c:formatCode>
                <c:ptCount val="5"/>
                <c:pt idx="0">
                  <c:v>652.49</c:v>
                </c:pt>
                <c:pt idx="1">
                  <c:v>690.13</c:v>
                </c:pt>
                <c:pt idx="2">
                  <c:v>648.6</c:v>
                </c:pt>
                <c:pt idx="3">
                  <c:v>626.54</c:v>
                </c:pt>
                <c:pt idx="4">
                  <c:v>686.57999999999993</c:v>
                </c:pt>
              </c:numCache>
            </c:numRef>
          </c:val>
          <c:extLst xmlns:c16r2="http://schemas.microsoft.com/office/drawing/2015/06/chart">
            <c:ext xmlns:c16="http://schemas.microsoft.com/office/drawing/2014/chart" uri="{C3380CC4-5D6E-409C-BE32-E72D297353CC}">
              <c16:uniqueId val="{00000000-A009-4041-B5C7-6CBF867908A0}"/>
            </c:ext>
          </c:extLst>
        </c:ser>
        <c:ser>
          <c:idx val="1"/>
          <c:order val="1"/>
          <c:tx>
            <c:strRef>
              <c:f>'[DPR working file 2021.xlsx] Debt Service + Disbursements'!$A$9</c:f>
              <c:strCache>
                <c:ptCount val="1"/>
                <c:pt idx="0">
                  <c:v>Domestic Debt Service</c:v>
                </c:pt>
              </c:strCache>
            </c:strRef>
          </c:tx>
          <c:spPr>
            <a:solidFill>
              <a:schemeClr val="accent2"/>
            </a:solidFill>
            <a:ln>
              <a:noFill/>
            </a:ln>
            <a:effectLst/>
          </c:spPr>
          <c:invertIfNegative val="0"/>
          <c:dLbls>
            <c:dLbl>
              <c:idx val="1"/>
              <c:layout>
                <c:manualLayout>
                  <c:x val="1.5432098765432098E-2"/>
                  <c:y val="0.1297935103244837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A009-4041-B5C7-6CBF867908A0}"/>
                </c:ext>
                <c:ext xmlns:c15="http://schemas.microsoft.com/office/drawing/2012/chart" uri="{CE6537A1-D6FC-4f65-9D91-7224C49458BB}"/>
              </c:extLst>
            </c:dLbl>
            <c:dLbl>
              <c:idx val="3"/>
              <c:layout>
                <c:manualLayout>
                  <c:x val="1.5432098765432029E-2"/>
                  <c:y val="0.11799410029498525"/>
                </c:manualLayout>
              </c:layout>
              <c:spPr>
                <a:noFill/>
                <a:ln>
                  <a:noFill/>
                </a:ln>
                <a:effectLst/>
              </c:spPr>
              <c:txPr>
                <a:bodyPr rot="0" spcFirstLastPara="1" vertOverflow="ellipsis" vert="horz" wrap="square" lIns="38100" tIns="19050" rIns="38100" bIns="19050"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A009-4041-B5C7-6CBF867908A0}"/>
                </c:ext>
                <c:ext xmlns:c15="http://schemas.microsoft.com/office/drawing/2012/chart" uri="{CE6537A1-D6FC-4f65-9D91-7224C49458BB}">
                  <c15:layout>
                    <c:manualLayout>
                      <c:w val="9.2592592592592587E-2"/>
                      <c:h val="6.6076696165191739E-2"/>
                    </c:manualLayout>
                  </c15:layout>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'[DPR working file 2021.xlsx] Debt Service + Disbursements'!$B$4:$F$4</c:f>
              <c:numCache>
                <c:formatCode>General</c:formatCode>
                <c:ptCount val="5"/>
                <c:pt idx="0">
                  <c:v>2017</c:v>
                </c:pt>
                <c:pt idx="1">
                  <c:v>2018</c:v>
                </c:pt>
                <c:pt idx="2">
                  <c:v>2019</c:v>
                </c:pt>
                <c:pt idx="3">
                  <c:v>2020</c:v>
                </c:pt>
                <c:pt idx="4">
                  <c:v>2021</c:v>
                </c:pt>
              </c:numCache>
            </c:numRef>
          </c:cat>
          <c:val>
            <c:numRef>
              <c:f>'[DPR working file 2021.xlsx] Debt Service + Disbursements'!$B$9:$F$9</c:f>
              <c:numCache>
                <c:formatCode>#,##0.0</c:formatCode>
                <c:ptCount val="5"/>
                <c:pt idx="0">
                  <c:v>538.98</c:v>
                </c:pt>
                <c:pt idx="1">
                  <c:v>669</c:v>
                </c:pt>
                <c:pt idx="2">
                  <c:v>494.79</c:v>
                </c:pt>
                <c:pt idx="3">
                  <c:v>585.92999999999995</c:v>
                </c:pt>
                <c:pt idx="4">
                  <c:v>523.09</c:v>
                </c:pt>
              </c:numCache>
            </c:numRef>
          </c:val>
          <c:extLst xmlns:c16r2="http://schemas.microsoft.com/office/drawing/2015/06/chart">
            <c:ext xmlns:c16="http://schemas.microsoft.com/office/drawing/2014/chart" uri="{C3380CC4-5D6E-409C-BE32-E72D297353CC}">
              <c16:uniqueId val="{00000003-A009-4041-B5C7-6CBF867908A0}"/>
            </c:ext>
          </c:extLst>
        </c:ser>
        <c:dLbls>
          <c:showLegendKey val="0"/>
          <c:showVal val="0"/>
          <c:showCatName val="0"/>
          <c:showSerName val="0"/>
          <c:showPercent val="0"/>
          <c:showBubbleSize val="0"/>
        </c:dLbls>
        <c:gapWidth val="219"/>
        <c:overlap val="-27"/>
        <c:axId val="293254656"/>
        <c:axId val="293253480"/>
      </c:barChart>
      <c:lineChart>
        <c:grouping val="standard"/>
        <c:varyColors val="0"/>
        <c:ser>
          <c:idx val="2"/>
          <c:order val="2"/>
          <c:tx>
            <c:strRef>
              <c:f>'[DPR working file 2021.xlsx] Debt Service + Disbursements'!$A$14</c:f>
              <c:strCache>
                <c:ptCount val="1"/>
                <c:pt idx="0">
                  <c:v>Debt Service Increase %</c:v>
                </c:pt>
              </c:strCache>
            </c:strRef>
          </c:tx>
          <c:spPr>
            <a:ln w="28575" cap="rnd">
              <a:solidFill>
                <a:schemeClr val="accent3"/>
              </a:solidFill>
              <a:round/>
            </a:ln>
            <a:effectLst/>
          </c:spPr>
          <c:marker>
            <c:symbol val="none"/>
          </c:marker>
          <c:val>
            <c:numRef>
              <c:f>'[DPR working file 2021.xlsx] Debt Service + Disbursements'!$B$14:$F$14</c:f>
              <c:numCache>
                <c:formatCode>#,##0.00</c:formatCode>
                <c:ptCount val="5"/>
                <c:pt idx="0">
                  <c:v>0</c:v>
                </c:pt>
                <c:pt idx="1">
                  <c:v>14.071692950724742</c:v>
                </c:pt>
                <c:pt idx="2">
                  <c:v>-15.873389594814331</c:v>
                </c:pt>
                <c:pt idx="3">
                  <c:v>6.0416830652707905</c:v>
                </c:pt>
                <c:pt idx="4">
                  <c:v>-0.23093354887128983</c:v>
                </c:pt>
              </c:numCache>
            </c:numRef>
          </c:val>
          <c:smooth val="0"/>
          <c:extLst xmlns:c16r2="http://schemas.microsoft.com/office/drawing/2015/06/chart">
            <c:ext xmlns:c16="http://schemas.microsoft.com/office/drawing/2014/chart" uri="{C3380CC4-5D6E-409C-BE32-E72D297353CC}">
              <c16:uniqueId val="{00000004-A009-4041-B5C7-6CBF867908A0}"/>
            </c:ext>
          </c:extLst>
        </c:ser>
        <c:dLbls>
          <c:showLegendKey val="0"/>
          <c:showVal val="0"/>
          <c:showCatName val="0"/>
          <c:showSerName val="0"/>
          <c:showPercent val="0"/>
          <c:showBubbleSize val="0"/>
        </c:dLbls>
        <c:marker val="1"/>
        <c:smooth val="0"/>
        <c:axId val="293250736"/>
        <c:axId val="293250344"/>
      </c:lineChart>
      <c:catAx>
        <c:axId val="293254656"/>
        <c:scaling>
          <c:orientation val="minMax"/>
        </c:scaling>
        <c:delete val="0"/>
        <c:axPos val="b"/>
        <c:numFmt formatCode="General" sourceLinked="1"/>
        <c:majorTickMark val="none"/>
        <c:minorTickMark val="none"/>
        <c:tickLblPos val="nextTo"/>
        <c:spPr>
          <a:noFill/>
          <a:ln w="9525">
            <a:no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3253480"/>
        <c:crosses val="autoZero"/>
        <c:auto val="1"/>
        <c:lblAlgn val="ctr"/>
        <c:lblOffset val="100"/>
        <c:noMultiLvlLbl val="0"/>
      </c:catAx>
      <c:valAx>
        <c:axId val="293253480"/>
        <c:scaling>
          <c:orientation val="minMax"/>
        </c:scaling>
        <c:delete val="0"/>
        <c:axPos val="l"/>
        <c:majorGridlines>
          <c:spPr>
            <a:ln w="9525">
              <a:no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i="0"/>
                  <a:t>Millions (XCD)</a:t>
                </a:r>
              </a:p>
            </c:rich>
          </c:tx>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3254656"/>
        <c:crosses val="autoZero"/>
        <c:crossBetween val="between"/>
        <c:majorUnit val="200"/>
      </c:valAx>
      <c:valAx>
        <c:axId val="293250344"/>
        <c:scaling>
          <c:orientation val="minMax"/>
          <c:max val="16"/>
          <c:min val="-16"/>
        </c:scaling>
        <c:delete val="0"/>
        <c:axPos val="r"/>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i="0"/>
                  <a:t>Percentage %</a:t>
                </a:r>
              </a:p>
            </c:rich>
          </c:tx>
          <c:layout>
            <c:manualLayout>
              <c:xMode val="edge"/>
              <c:yMode val="edge"/>
              <c:x val="0.95293209876543206"/>
              <c:y val="0.33555338768494647"/>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0" sourceLinked="0"/>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3250736"/>
        <c:crosses val="max"/>
        <c:crossBetween val="between"/>
        <c:majorUnit val="4"/>
      </c:valAx>
      <c:catAx>
        <c:axId val="293250736"/>
        <c:scaling>
          <c:orientation val="minMax"/>
        </c:scaling>
        <c:delete val="1"/>
        <c:axPos val="b"/>
        <c:majorTickMark val="out"/>
        <c:minorTickMark val="none"/>
        <c:tickLblPos val="nextTo"/>
        <c:crossAx val="293250344"/>
        <c:crosses val="autoZero"/>
        <c:auto val="1"/>
        <c:lblAlgn val="ctr"/>
        <c:lblOffset val="100"/>
        <c:noMultiLvlLbl val="0"/>
      </c:catAx>
      <c:spPr>
        <a:noFill/>
        <a:ln>
          <a:noFill/>
        </a:ln>
        <a:effectLst/>
      </c:spPr>
    </c:plotArea>
    <c:legend>
      <c:legendPos val="b"/>
      <c:layout>
        <c:manualLayout>
          <c:xMode val="edge"/>
          <c:yMode val="edge"/>
          <c:x val="4.3594463886458622E-2"/>
          <c:y val="0.89355445613546103"/>
          <c:w val="0.85108267716535435"/>
          <c:h val="0.10644554386453906"/>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defRPr sz="800" i="1">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9099773986585011"/>
          <c:y val="0.17195767195767195"/>
          <c:w val="0.76656398852921159"/>
          <c:h val="0.65684862308878056"/>
        </c:manualLayout>
      </c:layout>
      <c:lineChart>
        <c:grouping val="standard"/>
        <c:varyColors val="0"/>
        <c:ser>
          <c:idx val="0"/>
          <c:order val="0"/>
          <c:tx>
            <c:strRef>
              <c:f>'[DPR working file 2021.xlsx] Debt Service + Disbursements'!$A$7</c:f>
              <c:strCache>
                <c:ptCount val="1"/>
                <c:pt idx="0">
                  <c:v>Principal Repayments</c:v>
                </c:pt>
              </c:strCache>
            </c:strRef>
          </c:tx>
          <c:spPr>
            <a:ln w="28575" cap="rnd">
              <a:solidFill>
                <a:schemeClr val="accent1"/>
              </a:solidFill>
              <a:round/>
            </a:ln>
            <a:effectLst/>
          </c:spPr>
          <c:marker>
            <c:symbol val="none"/>
          </c:marker>
          <c:dLbls>
            <c:numFmt formatCode="#,##0.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'[DPR working file 2021.xlsx] Debt Service + Disbursements'!$B$4:$F$4</c:f>
              <c:numCache>
                <c:formatCode>General</c:formatCode>
                <c:ptCount val="5"/>
                <c:pt idx="0">
                  <c:v>2017</c:v>
                </c:pt>
                <c:pt idx="1">
                  <c:v>2018</c:v>
                </c:pt>
                <c:pt idx="2">
                  <c:v>2019</c:v>
                </c:pt>
                <c:pt idx="3">
                  <c:v>2020</c:v>
                </c:pt>
                <c:pt idx="4">
                  <c:v>2021</c:v>
                </c:pt>
              </c:numCache>
            </c:numRef>
          </c:cat>
          <c:val>
            <c:numRef>
              <c:f>'[DPR working file 2021.xlsx] Debt Service + Disbursements'!$B$19:$F$19</c:f>
              <c:numCache>
                <c:formatCode>#,##0.00</c:formatCode>
                <c:ptCount val="5"/>
                <c:pt idx="0">
                  <c:v>1058.8</c:v>
                </c:pt>
                <c:pt idx="1">
                  <c:v>1222.06</c:v>
                </c:pt>
                <c:pt idx="2">
                  <c:v>993.66000000000008</c:v>
                </c:pt>
                <c:pt idx="3">
                  <c:v>1064.02</c:v>
                </c:pt>
                <c:pt idx="4">
                  <c:v>1046.8599999999999</c:v>
                </c:pt>
              </c:numCache>
            </c:numRef>
          </c:val>
          <c:smooth val="0"/>
          <c:extLst xmlns:c16r2="http://schemas.microsoft.com/office/drawing/2015/06/chart">
            <c:ext xmlns:c16="http://schemas.microsoft.com/office/drawing/2014/chart" uri="{C3380CC4-5D6E-409C-BE32-E72D297353CC}">
              <c16:uniqueId val="{00000000-E986-489F-B29E-3E467C8DAC88}"/>
            </c:ext>
          </c:extLst>
        </c:ser>
        <c:ser>
          <c:idx val="1"/>
          <c:order val="1"/>
          <c:tx>
            <c:strRef>
              <c:f>'[DPR working file 2021.xlsx] Debt Service + Disbursements'!$A$8</c:f>
              <c:strCache>
                <c:ptCount val="1"/>
                <c:pt idx="0">
                  <c:v>Interest Payments</c:v>
                </c:pt>
              </c:strCache>
            </c:strRef>
          </c:tx>
          <c:spPr>
            <a:ln w="28575" cap="rnd">
              <a:solidFill>
                <a:schemeClr val="accent2"/>
              </a:solidFill>
              <a:round/>
            </a:ln>
            <a:effectLst/>
          </c:spPr>
          <c:marker>
            <c:symbol val="none"/>
          </c:marker>
          <c:dLbls>
            <c:numFmt formatCode="#,##0.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'[DPR working file 2021.xlsx] Debt Service + Disbursements'!$B$4:$F$4</c:f>
              <c:numCache>
                <c:formatCode>General</c:formatCode>
                <c:ptCount val="5"/>
                <c:pt idx="0">
                  <c:v>2017</c:v>
                </c:pt>
                <c:pt idx="1">
                  <c:v>2018</c:v>
                </c:pt>
                <c:pt idx="2">
                  <c:v>2019</c:v>
                </c:pt>
                <c:pt idx="3">
                  <c:v>2020</c:v>
                </c:pt>
                <c:pt idx="4">
                  <c:v>2021</c:v>
                </c:pt>
              </c:numCache>
            </c:numRef>
          </c:cat>
          <c:val>
            <c:numRef>
              <c:f>'[DPR working file 2021.xlsx] Debt Service + Disbursements'!$B$20:$F$20</c:f>
              <c:numCache>
                <c:formatCode>#,##0.00</c:formatCode>
                <c:ptCount val="5"/>
                <c:pt idx="0">
                  <c:v>132.67000000000002</c:v>
                </c:pt>
                <c:pt idx="1">
                  <c:v>137.07</c:v>
                </c:pt>
                <c:pt idx="2">
                  <c:v>149.72999999999999</c:v>
                </c:pt>
                <c:pt idx="3">
                  <c:v>148.44999999999999</c:v>
                </c:pt>
                <c:pt idx="4">
                  <c:v>162.81</c:v>
                </c:pt>
              </c:numCache>
            </c:numRef>
          </c:val>
          <c:smooth val="0"/>
          <c:extLst xmlns:c16r2="http://schemas.microsoft.com/office/drawing/2015/06/chart">
            <c:ext xmlns:c16="http://schemas.microsoft.com/office/drawing/2014/chart" uri="{C3380CC4-5D6E-409C-BE32-E72D297353CC}">
              <c16:uniqueId val="{00000001-E986-489F-B29E-3E467C8DAC88}"/>
            </c:ext>
          </c:extLst>
        </c:ser>
        <c:dLbls>
          <c:showLegendKey val="0"/>
          <c:showVal val="0"/>
          <c:showCatName val="0"/>
          <c:showSerName val="0"/>
          <c:showPercent val="0"/>
          <c:showBubbleSize val="0"/>
        </c:dLbls>
        <c:smooth val="0"/>
        <c:axId val="293251912"/>
        <c:axId val="293251128"/>
      </c:lineChart>
      <c:catAx>
        <c:axId val="293251912"/>
        <c:scaling>
          <c:orientation val="minMax"/>
        </c:scaling>
        <c:delete val="0"/>
        <c:axPos val="b"/>
        <c:numFmt formatCode="General" sourceLinked="1"/>
        <c:majorTickMark val="none"/>
        <c:minorTickMark val="none"/>
        <c:tickLblPos val="nextTo"/>
        <c:spPr>
          <a:noFill/>
          <a:ln w="9525">
            <a:no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3251128"/>
        <c:crosses val="autoZero"/>
        <c:auto val="1"/>
        <c:lblAlgn val="ctr"/>
        <c:lblOffset val="100"/>
        <c:noMultiLvlLbl val="0"/>
      </c:catAx>
      <c:valAx>
        <c:axId val="293251128"/>
        <c:scaling>
          <c:orientation val="minMax"/>
          <c:max val="1600"/>
          <c:min val="0"/>
        </c:scaling>
        <c:delete val="0"/>
        <c:axPos val="l"/>
        <c:majorGridlines>
          <c:spPr>
            <a:ln w="9525">
              <a:no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Millions (XCD)</a:t>
                </a:r>
              </a:p>
            </c:rich>
          </c:tx>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3251912"/>
        <c:crosses val="autoZero"/>
        <c:crossBetween val="between"/>
        <c:majorUnit val="400"/>
      </c:valAx>
      <c:spPr>
        <a:noFill/>
        <a:ln>
          <a:noFill/>
        </a:ln>
        <a:effectLst/>
      </c:spPr>
    </c:plotArea>
    <c:legend>
      <c:legendPos val="b"/>
      <c:layout>
        <c:manualLayout>
          <c:xMode val="edge"/>
          <c:yMode val="edge"/>
          <c:x val="0.10705076795956062"/>
          <c:y val="0.90230648252301793"/>
          <c:w val="0.81676235783027118"/>
          <c:h val="9.7693517476982045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11746621950034"/>
          <c:y val="0.21082208473940758"/>
          <c:w val="0.52892274335273315"/>
          <c:h val="0.61403490353171797"/>
        </c:manualLayout>
      </c:layout>
      <c:pieChart>
        <c:varyColors val="1"/>
        <c:ser>
          <c:idx val="0"/>
          <c:order val="0"/>
          <c:tx>
            <c:strRef>
              <c:f>'[DPR working file 2021.xlsx] Debt Service + Disbursements'!$B$47</c:f>
              <c:strCache>
                <c:ptCount val="1"/>
                <c:pt idx="0">
                  <c:v>2021</c:v>
                </c:pt>
              </c:strCache>
            </c:strRef>
          </c:tx>
          <c:dPt>
            <c:idx val="0"/>
            <c:bubble3D val="0"/>
            <c:spPr>
              <a:gradFill rotWithShape="1">
                <a:gsLst>
                  <a:gs pos="0">
                    <a:schemeClr val="accent6"/>
                  </a:gs>
                  <a:gs pos="100000">
                    <a:schemeClr val="accent6">
                      <a:lumMod val="84000"/>
                    </a:schemeClr>
                  </a:gs>
                </a:gsLst>
                <a:lin ang="5400000" scaled="1"/>
              </a:gradFill>
              <a:ln>
                <a:noFill/>
              </a:ln>
              <a:effectLst>
                <a:outerShdw blurRad="76200" dir="18900000" sy="23000" kx="-1200000" algn="bl" rotWithShape="0">
                  <a:prstClr val="black">
                    <a:alpha val="20000"/>
                  </a:prstClr>
                </a:outerShdw>
              </a:effectLst>
            </c:spPr>
            <c:extLst xmlns:c16r2="http://schemas.microsoft.com/office/drawing/2015/06/chart">
              <c:ext xmlns:c16="http://schemas.microsoft.com/office/drawing/2014/chart" uri="{C3380CC4-5D6E-409C-BE32-E72D297353CC}">
                <c16:uniqueId val="{00000001-156A-4428-950A-0001C33E005C}"/>
              </c:ext>
            </c:extLst>
          </c:dPt>
          <c:dPt>
            <c:idx val="1"/>
            <c:bubble3D val="0"/>
            <c:spPr>
              <a:gradFill rotWithShape="1">
                <a:gsLst>
                  <a:gs pos="0">
                    <a:schemeClr val="accent5"/>
                  </a:gs>
                  <a:gs pos="100000">
                    <a:schemeClr val="accent5">
                      <a:lumMod val="84000"/>
                    </a:schemeClr>
                  </a:gs>
                </a:gsLst>
                <a:lin ang="5400000" scaled="1"/>
              </a:gradFill>
              <a:ln>
                <a:noFill/>
              </a:ln>
              <a:effectLst>
                <a:outerShdw blurRad="76200" dir="18900000" sy="23000" kx="-1200000" algn="bl" rotWithShape="0">
                  <a:prstClr val="black">
                    <a:alpha val="20000"/>
                  </a:prstClr>
                </a:outerShdw>
              </a:effectLst>
            </c:spPr>
            <c:extLst xmlns:c16r2="http://schemas.microsoft.com/office/drawing/2015/06/chart">
              <c:ext xmlns:c16="http://schemas.microsoft.com/office/drawing/2014/chart" uri="{C3380CC4-5D6E-409C-BE32-E72D297353CC}">
                <c16:uniqueId val="{00000001-0A95-4A6B-83F3-304F60BC2303}"/>
              </c:ext>
            </c:extLst>
          </c:dPt>
          <c:dPt>
            <c:idx val="2"/>
            <c:bubble3D val="0"/>
            <c:spPr>
              <a:gradFill rotWithShape="1">
                <a:gsLst>
                  <a:gs pos="0">
                    <a:schemeClr val="accent4"/>
                  </a:gs>
                  <a:gs pos="100000">
                    <a:schemeClr val="accent4">
                      <a:lumMod val="84000"/>
                    </a:schemeClr>
                  </a:gs>
                </a:gsLst>
                <a:lin ang="5400000" scaled="1"/>
              </a:gradFill>
              <a:ln>
                <a:noFill/>
              </a:ln>
              <a:effectLst>
                <a:outerShdw blurRad="76200" dir="18900000" sy="23000" kx="-1200000" algn="bl" rotWithShape="0">
                  <a:prstClr val="black">
                    <a:alpha val="20000"/>
                  </a:prstClr>
                </a:outerShdw>
              </a:effectLst>
            </c:spPr>
            <c:extLst xmlns:c16r2="http://schemas.microsoft.com/office/drawing/2015/06/chart">
              <c:ext xmlns:c16="http://schemas.microsoft.com/office/drawing/2014/chart" uri="{C3380CC4-5D6E-409C-BE32-E72D297353CC}">
                <c16:uniqueId val="{00000003-0A95-4A6B-83F3-304F60BC2303}"/>
              </c:ext>
            </c:extLst>
          </c:dPt>
          <c:dLbls>
            <c:dLbl>
              <c:idx val="2"/>
              <c:layout>
                <c:manualLayout>
                  <c:x val="-9.9099439826966076E-2"/>
                  <c:y val="1.2724451110277882E-2"/>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0A95-4A6B-83F3-304F60BC2303}"/>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'[DPR working file 2021.xlsx] Debt Service + Disbursements'!$A$48:$A$50</c:f>
              <c:strCache>
                <c:ptCount val="3"/>
                <c:pt idx="0">
                  <c:v>Export-Import Bank of the Republic of China</c:v>
                </c:pt>
                <c:pt idx="1">
                  <c:v>Caribbean Development Bank</c:v>
                </c:pt>
                <c:pt idx="2">
                  <c:v>International Development Association</c:v>
                </c:pt>
              </c:strCache>
            </c:strRef>
          </c:cat>
          <c:val>
            <c:numRef>
              <c:f>'[DPR working file 2021.xlsx] Debt Service + Disbursements'!$B$48:$B$50</c:f>
              <c:numCache>
                <c:formatCode>0.00</c:formatCode>
                <c:ptCount val="3"/>
                <c:pt idx="0">
                  <c:v>175.81</c:v>
                </c:pt>
                <c:pt idx="1">
                  <c:v>85.47</c:v>
                </c:pt>
                <c:pt idx="2">
                  <c:v>232.15</c:v>
                </c:pt>
              </c:numCache>
            </c:numRef>
          </c:val>
          <c:extLst xmlns:c16r2="http://schemas.microsoft.com/office/drawing/2015/06/chart">
            <c:ext xmlns:c16="http://schemas.microsoft.com/office/drawing/2014/chart" uri="{C3380CC4-5D6E-409C-BE32-E72D297353CC}">
              <c16:uniqueId val="{00000004-0A95-4A6B-83F3-304F60BC2303}"/>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286781860600758"/>
          <c:y val="0.20851247760696578"/>
          <c:w val="0.82161967042255313"/>
          <c:h val="0.56729658792650917"/>
        </c:manualLayout>
      </c:layout>
      <c:lineChart>
        <c:grouping val="standard"/>
        <c:varyColors val="0"/>
        <c:ser>
          <c:idx val="0"/>
          <c:order val="0"/>
          <c:tx>
            <c:strRef>
              <c:f>'[DPR working file 2021.xlsx]Risk Indicators + Maturity Prof'!$A$4</c:f>
              <c:strCache>
                <c:ptCount val="1"/>
                <c:pt idx="0">
                  <c:v>ATM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numFmt formatCode="#,##0.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'[DPR working file 2021.xlsx]Risk Indicators + Maturity Prof'!$B$3:$F$3</c:f>
              <c:strCache>
                <c:ptCount val="5"/>
                <c:pt idx="0">
                  <c:v>2017</c:v>
                </c:pt>
                <c:pt idx="1">
                  <c:v>2018</c:v>
                </c:pt>
                <c:pt idx="2">
                  <c:v>2019</c:v>
                </c:pt>
                <c:pt idx="3">
                  <c:v>2020</c:v>
                </c:pt>
                <c:pt idx="4">
                  <c:v>2021</c:v>
                </c:pt>
              </c:strCache>
            </c:strRef>
          </c:cat>
          <c:val>
            <c:numRef>
              <c:f>'[DPR working file 2021.xlsx]Risk Indicators + Maturity Prof'!$B$4:$F$4</c:f>
              <c:numCache>
                <c:formatCode>#,##0.00</c:formatCode>
                <c:ptCount val="5"/>
                <c:pt idx="0" formatCode="0.00">
                  <c:v>5</c:v>
                </c:pt>
                <c:pt idx="1">
                  <c:v>5.4</c:v>
                </c:pt>
                <c:pt idx="2">
                  <c:v>5.1330964994279116</c:v>
                </c:pt>
                <c:pt idx="3">
                  <c:v>5.68</c:v>
                </c:pt>
                <c:pt idx="4">
                  <c:v>6.23</c:v>
                </c:pt>
              </c:numCache>
            </c:numRef>
          </c:val>
          <c:smooth val="0"/>
          <c:extLst xmlns:c16r2="http://schemas.microsoft.com/office/drawing/2015/06/chart">
            <c:ext xmlns:c16="http://schemas.microsoft.com/office/drawing/2014/chart" uri="{C3380CC4-5D6E-409C-BE32-E72D297353CC}">
              <c16:uniqueId val="{00000000-54CB-4EB4-BA28-779E2B44DF30}"/>
            </c:ext>
          </c:extLst>
        </c:ser>
        <c:ser>
          <c:idx val="2"/>
          <c:order val="1"/>
          <c:tx>
            <c:strRef>
              <c:f>'[DPR working file 2021.xlsx]Risk Indicators + Maturity Prof'!$A$6</c:f>
              <c:strCache>
                <c:ptCount val="1"/>
                <c:pt idx="0">
                  <c:v>ATR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numFmt formatCode="#,##0.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'[DPR working file 2021.xlsx]Risk Indicators + Maturity Prof'!$B$3:$F$3</c:f>
              <c:strCache>
                <c:ptCount val="5"/>
                <c:pt idx="0">
                  <c:v>2017</c:v>
                </c:pt>
                <c:pt idx="1">
                  <c:v>2018</c:v>
                </c:pt>
                <c:pt idx="2">
                  <c:v>2019</c:v>
                </c:pt>
                <c:pt idx="3">
                  <c:v>2020</c:v>
                </c:pt>
                <c:pt idx="4">
                  <c:v>2021</c:v>
                </c:pt>
              </c:strCache>
            </c:strRef>
          </c:cat>
          <c:val>
            <c:numRef>
              <c:f>'[DPR working file 2021.xlsx]Risk Indicators + Maturity Prof'!$B$6:$F$6</c:f>
              <c:numCache>
                <c:formatCode>#,##0.0</c:formatCode>
                <c:ptCount val="5"/>
                <c:pt idx="0" formatCode="0.0">
                  <c:v>4.54</c:v>
                </c:pt>
                <c:pt idx="1">
                  <c:v>4.9000000000000004</c:v>
                </c:pt>
                <c:pt idx="2" formatCode="#,##0.00">
                  <c:v>5.125272133808318</c:v>
                </c:pt>
                <c:pt idx="3" formatCode="#,##0.00">
                  <c:v>5.55</c:v>
                </c:pt>
                <c:pt idx="4" formatCode="#,##0.00">
                  <c:v>6.06</c:v>
                </c:pt>
              </c:numCache>
            </c:numRef>
          </c:val>
          <c:smooth val="0"/>
          <c:extLst xmlns:c16r2="http://schemas.microsoft.com/office/drawing/2015/06/chart">
            <c:ext xmlns:c16="http://schemas.microsoft.com/office/drawing/2014/chart" uri="{C3380CC4-5D6E-409C-BE32-E72D297353CC}">
              <c16:uniqueId val="{00000001-54CB-4EB4-BA28-779E2B44DF30}"/>
            </c:ext>
          </c:extLst>
        </c:ser>
        <c:dLbls>
          <c:dLblPos val="ctr"/>
          <c:showLegendKey val="0"/>
          <c:showVal val="1"/>
          <c:showCatName val="0"/>
          <c:showSerName val="0"/>
          <c:showPercent val="0"/>
          <c:showBubbleSize val="0"/>
        </c:dLbls>
        <c:marker val="1"/>
        <c:smooth val="0"/>
        <c:axId val="293253088"/>
        <c:axId val="293247992"/>
      </c:lineChart>
      <c:catAx>
        <c:axId val="293253088"/>
        <c:scaling>
          <c:orientation val="minMax"/>
        </c:scaling>
        <c:delete val="0"/>
        <c:axPos val="b"/>
        <c:numFmt formatCode="General" sourceLinked="1"/>
        <c:majorTickMark val="none"/>
        <c:minorTickMark val="none"/>
        <c:tickLblPos val="nextTo"/>
        <c:spPr>
          <a:noFill/>
          <a:ln w="25400">
            <a:no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3247992"/>
        <c:crosses val="autoZero"/>
        <c:auto val="1"/>
        <c:lblAlgn val="ctr"/>
        <c:lblOffset val="100"/>
        <c:noMultiLvlLbl val="0"/>
      </c:catAx>
      <c:valAx>
        <c:axId val="293247992"/>
        <c:scaling>
          <c:orientation val="minMax"/>
          <c:max val="8"/>
          <c:min val="0"/>
        </c:scaling>
        <c:delete val="0"/>
        <c:axPos val="l"/>
        <c:majorGridlines>
          <c:spPr>
            <a:ln w="9525">
              <a:no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Years</a:t>
                </a:r>
              </a:p>
            </c:rich>
          </c:tx>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0" sourceLinked="0"/>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3253088"/>
        <c:crosses val="autoZero"/>
        <c:crossBetween val="between"/>
        <c:majorUnit val="2"/>
      </c:valAx>
      <c:spPr>
        <a:noFill/>
        <a:ln>
          <a:noFill/>
        </a:ln>
        <a:effectLst/>
      </c:spPr>
    </c:plotArea>
    <c:legend>
      <c:legendPos val="b"/>
      <c:layout>
        <c:manualLayout>
          <c:xMode val="edge"/>
          <c:yMode val="edge"/>
          <c:x val="0.30967543987557117"/>
          <c:y val="0.88907896929550478"/>
          <c:w val="0.38064881646738602"/>
          <c:h val="9.7693517476982045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440464941882265"/>
          <c:y val="0.23547251188196072"/>
          <c:w val="0.79119070116235468"/>
          <c:h val="0.71644236362346603"/>
        </c:manualLayout>
      </c:layout>
      <c:ofPieChart>
        <c:ofPieType val="pie"/>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9747-436F-A9A1-42FD5BC9D30D}"/>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9747-436F-A9A1-42FD5BC9D30D}"/>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9747-436F-A9A1-42FD5BC9D30D}"/>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9747-436F-A9A1-42FD5BC9D30D}"/>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9747-436F-A9A1-42FD5BC9D30D}"/>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9747-436F-A9A1-42FD5BC9D30D}"/>
              </c:ext>
            </c:extLst>
          </c:dPt>
          <c:dLbls>
            <c:dLbl>
              <c:idx val="2"/>
              <c:layout>
                <c:manualLayout>
                  <c:x val="8.8613533064464386E-2"/>
                  <c:y val="-1.8267180101085058E-2"/>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9747-436F-A9A1-42FD5BC9D30D}"/>
                </c:ext>
                <c:ext xmlns:c15="http://schemas.microsoft.com/office/drawing/2012/chart" uri="{CE6537A1-D6FC-4f65-9D91-7224C49458BB}"/>
              </c:extLst>
            </c:dLbl>
            <c:dLbl>
              <c:idx val="3"/>
              <c:layout>
                <c:manualLayout>
                  <c:x val="2.7682734780103708E-2"/>
                  <c:y val="-6.6919414752805204E-2"/>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7-9747-436F-A9A1-42FD5BC9D30D}"/>
                </c:ext>
                <c:ext xmlns:c15="http://schemas.microsoft.com/office/drawing/2012/chart" uri="{CE6537A1-D6FC-4f65-9D91-7224C49458BB}"/>
              </c:extLst>
            </c:dLbl>
            <c:dLbl>
              <c:idx val="4"/>
              <c:layout>
                <c:manualLayout>
                  <c:x val="1.2963318609563929E-2"/>
                  <c:y val="8.7700431854764116E-2"/>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9-9747-436F-A9A1-42FD5BC9D30D}"/>
                </c:ext>
                <c:ext xmlns:c15="http://schemas.microsoft.com/office/drawing/2012/chart" uri="{CE6537A1-D6FC-4f65-9D91-7224C49458BB}"/>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showLeaderLines val="1"/>
            <c:leaderLines>
              <c:spPr>
                <a:ln w="9525">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'[DPR working file 2021.xlsx]Risk Indicators + Maturity Prof'!$A$15:$A$19</c:f>
              <c:strCache>
                <c:ptCount val="5"/>
                <c:pt idx="0">
                  <c:v>USD</c:v>
                </c:pt>
                <c:pt idx="1">
                  <c:v>XCD</c:v>
                </c:pt>
                <c:pt idx="2">
                  <c:v>SDR</c:v>
                </c:pt>
                <c:pt idx="3">
                  <c:v>KWD</c:v>
                </c:pt>
                <c:pt idx="4">
                  <c:v>EUR</c:v>
                </c:pt>
              </c:strCache>
            </c:strRef>
          </c:cat>
          <c:val>
            <c:numRef>
              <c:f>'[DPR working file 2021.xlsx]Risk Indicators + Maturity Prof'!$B$15:$B$19</c:f>
              <c:numCache>
                <c:formatCode>#,##0.0</c:formatCode>
                <c:ptCount val="5"/>
                <c:pt idx="0">
                  <c:v>1607563292.1940005</c:v>
                </c:pt>
                <c:pt idx="1">
                  <c:v>2169594109.8690004</c:v>
                </c:pt>
                <c:pt idx="2">
                  <c:v>340800256.64919513</c:v>
                </c:pt>
                <c:pt idx="3">
                  <c:v>12711474.870003</c:v>
                </c:pt>
                <c:pt idx="4">
                  <c:v>4757387.5285727009</c:v>
                </c:pt>
              </c:numCache>
            </c:numRef>
          </c:val>
          <c:extLst xmlns:c16r2="http://schemas.microsoft.com/office/drawing/2015/06/chart">
            <c:ext xmlns:c16="http://schemas.microsoft.com/office/drawing/2014/chart" uri="{C3380CC4-5D6E-409C-BE32-E72D297353CC}">
              <c16:uniqueId val="{0000000C-9747-436F-A9A1-42FD5BC9D30D}"/>
            </c:ext>
          </c:extLst>
        </c:ser>
        <c:dLbls>
          <c:dLblPos val="bestFit"/>
          <c:showLegendKey val="0"/>
          <c:showVal val="0"/>
          <c:showCatName val="1"/>
          <c:showSerName val="0"/>
          <c:showPercent val="1"/>
          <c:showBubbleSize val="0"/>
          <c:showLeaderLines val="1"/>
        </c:dLbls>
        <c:gapWidth val="100"/>
        <c:splitType val="pos"/>
        <c:splitPos val="3"/>
        <c:secondPieSize val="75"/>
        <c:serLines>
          <c:spPr>
            <a:ln w="9525">
              <a:solidFill>
                <a:schemeClr val="tx1">
                  <a:lumMod val="35000"/>
                  <a:lumOff val="65000"/>
                </a:schemeClr>
              </a:solidFill>
              <a:round/>
            </a:ln>
            <a:effectLst/>
          </c:spPr>
        </c:serLines>
      </c:ofPieChart>
      <c:spPr>
        <a:noFill/>
        <a:ln>
          <a:noFill/>
        </a:ln>
        <a:effectLst/>
      </c:spPr>
    </c:plotArea>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7827932098765432"/>
          <c:y val="0.31773155523189661"/>
          <c:w val="0.32831790123456789"/>
          <c:h val="0.6952614379084967"/>
        </c:manualLayout>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974E-4F34-A130-B23AAEDCDE0D}"/>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974E-4F34-A130-B23AAEDCDE0D}"/>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974E-4F34-A130-B23AAEDCDE0D}"/>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974E-4F34-A130-B23AAEDCDE0D}"/>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974E-4F34-A130-B23AAEDCDE0D}"/>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974E-4F34-A130-B23AAEDCDE0D}"/>
              </c:ext>
            </c:extLst>
          </c:dPt>
          <c:dLbls>
            <c:dLbl>
              <c:idx val="1"/>
              <c:layout>
                <c:manualLayout>
                  <c:x val="2.4491977162648483E-2"/>
                  <c:y val="6.4074227563659811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974E-4F34-A130-B23AAEDCDE0D}"/>
                </c:ext>
                <c:ext xmlns:c15="http://schemas.microsoft.com/office/drawing/2012/chart" uri="{CE6537A1-D6FC-4f65-9D91-7224C49458BB}"/>
              </c:extLst>
            </c:dLbl>
            <c:dLbl>
              <c:idx val="2"/>
              <c:layout>
                <c:manualLayout>
                  <c:x val="0.15803257840192655"/>
                  <c:y val="4.4636920384951879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974E-4F34-A130-B23AAEDCDE0D}"/>
                </c:ext>
                <c:ext xmlns:c15="http://schemas.microsoft.com/office/drawing/2012/chart" uri="{CE6537A1-D6FC-4f65-9D91-7224C49458BB}"/>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'[DPR working file 2021.xlsx]Risk Indicators + Maturity Prof'!$A$61:$A$63</c:f>
              <c:strCache>
                <c:ptCount val="3"/>
                <c:pt idx="0">
                  <c:v>Fixed Rate</c:v>
                </c:pt>
                <c:pt idx="1">
                  <c:v>Variable Rate </c:v>
                </c:pt>
                <c:pt idx="2">
                  <c:v>Interest Free</c:v>
                </c:pt>
              </c:strCache>
            </c:strRef>
          </c:cat>
          <c:val>
            <c:numRef>
              <c:f>'[DPR working file 2021.xlsx]Risk Indicators + Maturity Prof'!$B$61:$B$63</c:f>
              <c:numCache>
                <c:formatCode>[$$-409]#,##0.00</c:formatCode>
                <c:ptCount val="3"/>
                <c:pt idx="0">
                  <c:v>3464.63</c:v>
                </c:pt>
                <c:pt idx="1">
                  <c:v>524.36</c:v>
                </c:pt>
                <c:pt idx="2">
                  <c:v>139.44</c:v>
                </c:pt>
              </c:numCache>
            </c:numRef>
          </c:val>
          <c:extLst xmlns:c16r2="http://schemas.microsoft.com/office/drawing/2015/06/chart">
            <c:ext xmlns:c16="http://schemas.microsoft.com/office/drawing/2014/chart" uri="{C3380CC4-5D6E-409C-BE32-E72D297353CC}">
              <c16:uniqueId val="{0000000C-974E-4F34-A130-B23AAEDCDE0D}"/>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6719313798261438"/>
          <c:y val="0.20244304916240505"/>
          <c:w val="0.32480372614922554"/>
          <c:h val="0.676476328171698"/>
        </c:manualLayout>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2FA0-4DA0-A74E-C1CFCFAEBBBB}"/>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2FA0-4DA0-A74E-C1CFCFAEBBBB}"/>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2FA0-4DA0-A74E-C1CFCFAEBBBB}"/>
              </c:ext>
            </c:extLst>
          </c:dPt>
          <c:dLbls>
            <c:dLbl>
              <c:idx val="0"/>
              <c:layout>
                <c:manualLayout>
                  <c:x val="-3.3724809907616497E-2"/>
                  <c:y val="0.1432014059538467"/>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2FA0-4DA0-A74E-C1CFCFAEBBBB}"/>
                </c:ext>
                <c:ext xmlns:c15="http://schemas.microsoft.com/office/drawing/2012/chart" uri="{CE6537A1-D6FC-4f65-9D91-7224C49458BB}"/>
              </c:extLst>
            </c:dLbl>
            <c:dLbl>
              <c:idx val="2"/>
              <c:layout>
                <c:manualLayout>
                  <c:x val="8.8255285767760316E-2"/>
                  <c:y val="7.603798936338696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2FA0-4DA0-A74E-C1CFCFAEBBBB}"/>
                </c:ext>
                <c:ext xmlns:c15="http://schemas.microsoft.com/office/drawing/2012/chart" uri="{CE6537A1-D6FC-4f65-9D91-7224C49458BB}"/>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'[DPR working file 2021.xlsx]Risk Indicators + Maturity Prof'!$A$32:$A$34</c:f>
              <c:strCache>
                <c:ptCount val="3"/>
                <c:pt idx="0">
                  <c:v>1 year</c:v>
                </c:pt>
                <c:pt idx="1">
                  <c:v>2 - 5 years</c:v>
                </c:pt>
                <c:pt idx="2">
                  <c:v>5 + years</c:v>
                </c:pt>
              </c:strCache>
            </c:strRef>
          </c:cat>
          <c:val>
            <c:numRef>
              <c:f>'[DPR working file 2021.xlsx]Risk Indicators + Maturity Prof'!$D$32:$D$34</c:f>
              <c:numCache>
                <c:formatCode>0.00</c:formatCode>
                <c:ptCount val="3"/>
                <c:pt idx="0">
                  <c:v>16.027586920797589</c:v>
                </c:pt>
                <c:pt idx="1">
                  <c:v>46.60947426989118</c:v>
                </c:pt>
                <c:pt idx="2">
                  <c:v>37.362938809311238</c:v>
                </c:pt>
              </c:numCache>
            </c:numRef>
          </c:val>
          <c:extLst xmlns:c16r2="http://schemas.microsoft.com/office/drawing/2015/06/chart">
            <c:ext xmlns:c16="http://schemas.microsoft.com/office/drawing/2014/chart" uri="{C3380CC4-5D6E-409C-BE32-E72D297353CC}">
              <c16:uniqueId val="{00000006-2FA0-4DA0-A74E-C1CFCFAEBBBB}"/>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010107432223148"/>
          <c:y val="0.15598562786427841"/>
          <c:w val="0.84953315618156422"/>
          <c:h val="0.56716200893810653"/>
        </c:manualLayout>
      </c:layout>
      <c:lineChart>
        <c:grouping val="standard"/>
        <c:varyColors val="0"/>
        <c:ser>
          <c:idx val="0"/>
          <c:order val="0"/>
          <c:tx>
            <c:strRef>
              <c:f>'[DPR working file 2021.xlsx]Risk Indicators + Maturity Prof'!$A$28</c:f>
              <c:strCache>
                <c:ptCount val="1"/>
                <c:pt idx="0">
                  <c:v>Domestic</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'[DPR working file 2021.xlsx]Risk Indicators + Maturity Prof'!$B$27:$AD$27</c:f>
              <c:numCache>
                <c:formatCode>General</c:formatCode>
                <c:ptCount val="29"/>
                <c:pt idx="0">
                  <c:v>2022</c:v>
                </c:pt>
                <c:pt idx="1">
                  <c:v>2023</c:v>
                </c:pt>
                <c:pt idx="2">
                  <c:v>2024</c:v>
                </c:pt>
                <c:pt idx="3">
                  <c:v>2025</c:v>
                </c:pt>
                <c:pt idx="4">
                  <c:v>2026</c:v>
                </c:pt>
                <c:pt idx="5">
                  <c:v>2027</c:v>
                </c:pt>
                <c:pt idx="6">
                  <c:v>2028</c:v>
                </c:pt>
                <c:pt idx="7">
                  <c:v>2029</c:v>
                </c:pt>
                <c:pt idx="8">
                  <c:v>2030</c:v>
                </c:pt>
                <c:pt idx="9">
                  <c:v>2031</c:v>
                </c:pt>
                <c:pt idx="10">
                  <c:v>2032</c:v>
                </c:pt>
                <c:pt idx="11">
                  <c:v>2033</c:v>
                </c:pt>
                <c:pt idx="12">
                  <c:v>2034</c:v>
                </c:pt>
                <c:pt idx="13">
                  <c:v>2035</c:v>
                </c:pt>
                <c:pt idx="14">
                  <c:v>2036</c:v>
                </c:pt>
                <c:pt idx="15">
                  <c:v>2037</c:v>
                </c:pt>
                <c:pt idx="16">
                  <c:v>2038</c:v>
                </c:pt>
                <c:pt idx="17">
                  <c:v>2039</c:v>
                </c:pt>
                <c:pt idx="18">
                  <c:v>2040</c:v>
                </c:pt>
                <c:pt idx="19">
                  <c:v>2041</c:v>
                </c:pt>
                <c:pt idx="20">
                  <c:v>2042</c:v>
                </c:pt>
                <c:pt idx="21">
                  <c:v>2043</c:v>
                </c:pt>
                <c:pt idx="22">
                  <c:v>2044</c:v>
                </c:pt>
                <c:pt idx="23">
                  <c:v>2045</c:v>
                </c:pt>
                <c:pt idx="24">
                  <c:v>2046</c:v>
                </c:pt>
                <c:pt idx="25">
                  <c:v>2047</c:v>
                </c:pt>
                <c:pt idx="26">
                  <c:v>2048</c:v>
                </c:pt>
                <c:pt idx="27">
                  <c:v>2049</c:v>
                </c:pt>
                <c:pt idx="28">
                  <c:v>2050</c:v>
                </c:pt>
              </c:numCache>
            </c:numRef>
          </c:cat>
          <c:val>
            <c:numRef>
              <c:f>'[DPR working file 2021.xlsx]Risk Indicators + Maturity Prof'!$B$28:$AD$28</c:f>
              <c:numCache>
                <c:formatCode>General</c:formatCode>
                <c:ptCount val="29"/>
                <c:pt idx="0">
                  <c:v>400.93</c:v>
                </c:pt>
                <c:pt idx="1">
                  <c:v>161.47999999999999</c:v>
                </c:pt>
                <c:pt idx="2">
                  <c:v>178.74</c:v>
                </c:pt>
                <c:pt idx="3">
                  <c:v>120.02</c:v>
                </c:pt>
                <c:pt idx="4">
                  <c:v>260.24</c:v>
                </c:pt>
                <c:pt idx="5">
                  <c:v>107.47</c:v>
                </c:pt>
                <c:pt idx="6">
                  <c:v>214.92</c:v>
                </c:pt>
                <c:pt idx="7">
                  <c:v>129.31</c:v>
                </c:pt>
                <c:pt idx="8">
                  <c:v>91.27</c:v>
                </c:pt>
                <c:pt idx="9">
                  <c:v>28.12</c:v>
                </c:pt>
                <c:pt idx="10">
                  <c:v>13.74</c:v>
                </c:pt>
                <c:pt idx="11">
                  <c:v>9.81</c:v>
                </c:pt>
                <c:pt idx="12">
                  <c:v>6.86</c:v>
                </c:pt>
                <c:pt idx="13">
                  <c:v>13.6</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numCache>
            </c:numRef>
          </c:val>
          <c:smooth val="1"/>
          <c:extLst xmlns:c16r2="http://schemas.microsoft.com/office/drawing/2015/06/chart">
            <c:ext xmlns:c16="http://schemas.microsoft.com/office/drawing/2014/chart" uri="{C3380CC4-5D6E-409C-BE32-E72D297353CC}">
              <c16:uniqueId val="{00000000-D892-4141-9A60-A5D383BE5E71}"/>
            </c:ext>
          </c:extLst>
        </c:ser>
        <c:ser>
          <c:idx val="1"/>
          <c:order val="1"/>
          <c:tx>
            <c:strRef>
              <c:f>'[DPR working file 2021.xlsx]Risk Indicators + Maturity Prof'!$A$29</c:f>
              <c:strCache>
                <c:ptCount val="1"/>
                <c:pt idx="0">
                  <c:v>External</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'[DPR working file 2021.xlsx]Risk Indicators + Maturity Prof'!$B$27:$AD$27</c:f>
              <c:numCache>
                <c:formatCode>General</c:formatCode>
                <c:ptCount val="29"/>
                <c:pt idx="0">
                  <c:v>2022</c:v>
                </c:pt>
                <c:pt idx="1">
                  <c:v>2023</c:v>
                </c:pt>
                <c:pt idx="2">
                  <c:v>2024</c:v>
                </c:pt>
                <c:pt idx="3">
                  <c:v>2025</c:v>
                </c:pt>
                <c:pt idx="4">
                  <c:v>2026</c:v>
                </c:pt>
                <c:pt idx="5">
                  <c:v>2027</c:v>
                </c:pt>
                <c:pt idx="6">
                  <c:v>2028</c:v>
                </c:pt>
                <c:pt idx="7">
                  <c:v>2029</c:v>
                </c:pt>
                <c:pt idx="8">
                  <c:v>2030</c:v>
                </c:pt>
                <c:pt idx="9">
                  <c:v>2031</c:v>
                </c:pt>
                <c:pt idx="10">
                  <c:v>2032</c:v>
                </c:pt>
                <c:pt idx="11">
                  <c:v>2033</c:v>
                </c:pt>
                <c:pt idx="12">
                  <c:v>2034</c:v>
                </c:pt>
                <c:pt idx="13">
                  <c:v>2035</c:v>
                </c:pt>
                <c:pt idx="14">
                  <c:v>2036</c:v>
                </c:pt>
                <c:pt idx="15">
                  <c:v>2037</c:v>
                </c:pt>
                <c:pt idx="16">
                  <c:v>2038</c:v>
                </c:pt>
                <c:pt idx="17">
                  <c:v>2039</c:v>
                </c:pt>
                <c:pt idx="18">
                  <c:v>2040</c:v>
                </c:pt>
                <c:pt idx="19">
                  <c:v>2041</c:v>
                </c:pt>
                <c:pt idx="20">
                  <c:v>2042</c:v>
                </c:pt>
                <c:pt idx="21">
                  <c:v>2043</c:v>
                </c:pt>
                <c:pt idx="22">
                  <c:v>2044</c:v>
                </c:pt>
                <c:pt idx="23">
                  <c:v>2045</c:v>
                </c:pt>
                <c:pt idx="24">
                  <c:v>2046</c:v>
                </c:pt>
                <c:pt idx="25">
                  <c:v>2047</c:v>
                </c:pt>
                <c:pt idx="26">
                  <c:v>2048</c:v>
                </c:pt>
                <c:pt idx="27">
                  <c:v>2049</c:v>
                </c:pt>
                <c:pt idx="28">
                  <c:v>2050</c:v>
                </c:pt>
              </c:numCache>
            </c:numRef>
          </c:cat>
          <c:val>
            <c:numRef>
              <c:f>'[DPR working file 2021.xlsx]Risk Indicators + Maturity Prof'!$B$29:$AD$29</c:f>
              <c:numCache>
                <c:formatCode>General</c:formatCode>
                <c:ptCount val="29"/>
                <c:pt idx="0">
                  <c:v>571.30999999999995</c:v>
                </c:pt>
                <c:pt idx="1">
                  <c:v>145.6</c:v>
                </c:pt>
                <c:pt idx="2">
                  <c:v>161.83000000000001</c:v>
                </c:pt>
                <c:pt idx="3">
                  <c:v>129.91999999999999</c:v>
                </c:pt>
                <c:pt idx="4">
                  <c:v>194.21</c:v>
                </c:pt>
                <c:pt idx="5">
                  <c:v>115.06</c:v>
                </c:pt>
                <c:pt idx="6">
                  <c:v>167.99</c:v>
                </c:pt>
                <c:pt idx="7">
                  <c:v>106.14</c:v>
                </c:pt>
                <c:pt idx="8">
                  <c:v>72.87</c:v>
                </c:pt>
                <c:pt idx="9">
                  <c:v>63.42</c:v>
                </c:pt>
                <c:pt idx="10">
                  <c:v>57.57</c:v>
                </c:pt>
                <c:pt idx="11">
                  <c:v>49.62</c:v>
                </c:pt>
                <c:pt idx="12">
                  <c:v>45.35</c:v>
                </c:pt>
                <c:pt idx="13">
                  <c:v>43.1</c:v>
                </c:pt>
                <c:pt idx="14">
                  <c:v>41.18</c:v>
                </c:pt>
                <c:pt idx="15">
                  <c:v>39.979999999999997</c:v>
                </c:pt>
                <c:pt idx="16">
                  <c:v>39.6</c:v>
                </c:pt>
                <c:pt idx="17">
                  <c:v>34.72</c:v>
                </c:pt>
                <c:pt idx="18">
                  <c:v>26.81</c:v>
                </c:pt>
                <c:pt idx="19">
                  <c:v>25.5</c:v>
                </c:pt>
                <c:pt idx="20">
                  <c:v>20.8</c:v>
                </c:pt>
                <c:pt idx="21">
                  <c:v>18.16</c:v>
                </c:pt>
                <c:pt idx="22">
                  <c:v>16.670000000000002</c:v>
                </c:pt>
                <c:pt idx="23">
                  <c:v>15.24</c:v>
                </c:pt>
                <c:pt idx="24">
                  <c:v>12.58</c:v>
                </c:pt>
                <c:pt idx="25">
                  <c:v>12.49</c:v>
                </c:pt>
                <c:pt idx="26">
                  <c:v>12.49</c:v>
                </c:pt>
                <c:pt idx="27">
                  <c:v>12.49</c:v>
                </c:pt>
                <c:pt idx="28">
                  <c:v>10.36</c:v>
                </c:pt>
              </c:numCache>
            </c:numRef>
          </c:val>
          <c:smooth val="1"/>
          <c:extLst xmlns:c16r2="http://schemas.microsoft.com/office/drawing/2015/06/chart">
            <c:ext xmlns:c16="http://schemas.microsoft.com/office/drawing/2014/chart" uri="{C3380CC4-5D6E-409C-BE32-E72D297353CC}">
              <c16:uniqueId val="{00000001-D892-4141-9A60-A5D383BE5E71}"/>
            </c:ext>
          </c:extLst>
        </c:ser>
        <c:dLbls>
          <c:showLegendKey val="0"/>
          <c:showVal val="0"/>
          <c:showCatName val="0"/>
          <c:showSerName val="0"/>
          <c:showPercent val="0"/>
          <c:showBubbleSize val="0"/>
        </c:dLbls>
        <c:marker val="1"/>
        <c:smooth val="0"/>
        <c:axId val="293249560"/>
        <c:axId val="293249952"/>
      </c:lineChart>
      <c:catAx>
        <c:axId val="29324956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3249952"/>
        <c:crosses val="autoZero"/>
        <c:auto val="1"/>
        <c:lblAlgn val="ctr"/>
        <c:lblOffset val="100"/>
        <c:noMultiLvlLbl val="0"/>
      </c:catAx>
      <c:valAx>
        <c:axId val="293249952"/>
        <c:scaling>
          <c:orientation val="minMax"/>
          <c:max val="600"/>
          <c:min val="0"/>
        </c:scaling>
        <c:delete val="0"/>
        <c:axPos val="l"/>
        <c:majorGridlines>
          <c:spPr>
            <a:ln w="9525">
              <a:no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Millions (XCD)</a:t>
                </a:r>
              </a:p>
            </c:rich>
          </c:tx>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3249560"/>
        <c:crosses val="autoZero"/>
        <c:crossBetween val="between"/>
        <c:majorUnit val="100"/>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zero"/>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328169048313409"/>
          <c:y val="0.15151515151515152"/>
          <c:w val="0.78971213667735973"/>
          <c:h val="0.67244641294838148"/>
        </c:manualLayout>
      </c:layout>
      <c:barChart>
        <c:barDir val="col"/>
        <c:grouping val="stacked"/>
        <c:varyColors val="0"/>
        <c:ser>
          <c:idx val="0"/>
          <c:order val="0"/>
          <c:tx>
            <c:strRef>
              <c:f>'[DPR working file 2021.xlsx]Contingent Liabilities'!$A$3</c:f>
              <c:strCache>
                <c:ptCount val="1"/>
                <c:pt idx="0">
                  <c:v>Government-Guaranteed SOE Loans</c:v>
                </c:pt>
              </c:strCache>
            </c:strRef>
          </c:tx>
          <c:spPr>
            <a:solidFill>
              <a:schemeClr val="accent1"/>
            </a:solidFill>
            <a:ln>
              <a:noFill/>
            </a:ln>
            <a:effectLst/>
          </c:spPr>
          <c:invertIfNegative val="0"/>
          <c:cat>
            <c:strRef>
              <c:f>'[DPR working file 2021.xlsx]Contingent Liabilities'!$B$2:$F$2</c:f>
              <c:strCache>
                <c:ptCount val="5"/>
                <c:pt idx="0">
                  <c:v>2017</c:v>
                </c:pt>
                <c:pt idx="1">
                  <c:v>2018</c:v>
                </c:pt>
                <c:pt idx="2">
                  <c:v>2019</c:v>
                </c:pt>
                <c:pt idx="3">
                  <c:v>2020</c:v>
                </c:pt>
                <c:pt idx="4">
                  <c:v>2021</c:v>
                </c:pt>
              </c:strCache>
            </c:strRef>
          </c:cat>
          <c:val>
            <c:numRef>
              <c:f>'[DPR working file 2021.xlsx]Contingent Liabilities'!$B$3:$F$3</c:f>
              <c:numCache>
                <c:formatCode>#,##0.00</c:formatCode>
                <c:ptCount val="5"/>
                <c:pt idx="0">
                  <c:v>175.61683058100098</c:v>
                </c:pt>
                <c:pt idx="1">
                  <c:v>184.017667715426</c:v>
                </c:pt>
                <c:pt idx="2">
                  <c:v>192.13682632963597</c:v>
                </c:pt>
                <c:pt idx="3">
                  <c:v>211.86094094000001</c:v>
                </c:pt>
                <c:pt idx="4">
                  <c:v>270.87395923700001</c:v>
                </c:pt>
              </c:numCache>
            </c:numRef>
          </c:val>
          <c:extLst xmlns:c16r2="http://schemas.microsoft.com/office/drawing/2015/06/chart">
            <c:ext xmlns:c16="http://schemas.microsoft.com/office/drawing/2014/chart" uri="{C3380CC4-5D6E-409C-BE32-E72D297353CC}">
              <c16:uniqueId val="{00000000-8103-4658-A3E9-C2236DF1E97F}"/>
            </c:ext>
          </c:extLst>
        </c:ser>
        <c:ser>
          <c:idx val="1"/>
          <c:order val="1"/>
          <c:tx>
            <c:strRef>
              <c:f>'[DPR working file 2021.xlsx]Contingent Liabilities'!$A$4</c:f>
              <c:strCache>
                <c:ptCount val="1"/>
                <c:pt idx="0">
                  <c:v>SOE Direct Loans</c:v>
                </c:pt>
              </c:strCache>
            </c:strRef>
          </c:tx>
          <c:spPr>
            <a:solidFill>
              <a:schemeClr val="accent2"/>
            </a:solidFill>
            <a:ln>
              <a:noFill/>
            </a:ln>
            <a:effectLst/>
          </c:spPr>
          <c:invertIfNegative val="0"/>
          <c:cat>
            <c:strRef>
              <c:f>'[DPR working file 2021.xlsx]Contingent Liabilities'!$B$2:$F$2</c:f>
              <c:strCache>
                <c:ptCount val="5"/>
                <c:pt idx="0">
                  <c:v>2017</c:v>
                </c:pt>
                <c:pt idx="1">
                  <c:v>2018</c:v>
                </c:pt>
                <c:pt idx="2">
                  <c:v>2019</c:v>
                </c:pt>
                <c:pt idx="3">
                  <c:v>2020</c:v>
                </c:pt>
                <c:pt idx="4">
                  <c:v>2021</c:v>
                </c:pt>
              </c:strCache>
            </c:strRef>
          </c:cat>
          <c:val>
            <c:numRef>
              <c:f>'[DPR working file 2021.xlsx]Contingent Liabilities'!$B$4:$F$4</c:f>
              <c:numCache>
                <c:formatCode>#,##0.00</c:formatCode>
                <c:ptCount val="5"/>
                <c:pt idx="0">
                  <c:v>18.18998156</c:v>
                </c:pt>
                <c:pt idx="1">
                  <c:v>14.175663999999999</c:v>
                </c:pt>
                <c:pt idx="2">
                  <c:v>0.67862800000000001</c:v>
                </c:pt>
                <c:pt idx="3">
                  <c:v>0.82135999999999998</c:v>
                </c:pt>
                <c:pt idx="4">
                  <c:v>0.20472991000000001</c:v>
                </c:pt>
              </c:numCache>
            </c:numRef>
          </c:val>
          <c:extLst xmlns:c16r2="http://schemas.microsoft.com/office/drawing/2015/06/chart">
            <c:ext xmlns:c16="http://schemas.microsoft.com/office/drawing/2014/chart" uri="{C3380CC4-5D6E-409C-BE32-E72D297353CC}">
              <c16:uniqueId val="{00000001-8103-4658-A3E9-C2236DF1E97F}"/>
            </c:ext>
          </c:extLst>
        </c:ser>
        <c:dLbls>
          <c:showLegendKey val="0"/>
          <c:showVal val="0"/>
          <c:showCatName val="0"/>
          <c:showSerName val="0"/>
          <c:showPercent val="0"/>
          <c:showBubbleSize val="0"/>
        </c:dLbls>
        <c:gapWidth val="219"/>
        <c:overlap val="100"/>
        <c:axId val="291589064"/>
        <c:axId val="294653384"/>
      </c:barChart>
      <c:catAx>
        <c:axId val="291589064"/>
        <c:scaling>
          <c:orientation val="minMax"/>
        </c:scaling>
        <c:delete val="0"/>
        <c:axPos val="b"/>
        <c:numFmt formatCode="General" sourceLinked="1"/>
        <c:majorTickMark val="none"/>
        <c:minorTickMark val="none"/>
        <c:tickLblPos val="nextTo"/>
        <c:spPr>
          <a:noFill/>
          <a:ln w="9525">
            <a:no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4653384"/>
        <c:crosses val="autoZero"/>
        <c:auto val="1"/>
        <c:lblAlgn val="ctr"/>
        <c:lblOffset val="100"/>
        <c:noMultiLvlLbl val="0"/>
      </c:catAx>
      <c:valAx>
        <c:axId val="294653384"/>
        <c:scaling>
          <c:orientation val="minMax"/>
        </c:scaling>
        <c:delete val="0"/>
        <c:axPos val="l"/>
        <c:majorGridlines>
          <c:spPr>
            <a:ln w="9525">
              <a:no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Millions (XCD)</a:t>
                </a:r>
              </a:p>
            </c:rich>
          </c:tx>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1589064"/>
        <c:crosses val="autoZero"/>
        <c:crossBetween val="between"/>
      </c:valAx>
      <c:spPr>
        <a:noFill/>
        <a:ln>
          <a:noFill/>
        </a:ln>
        <a:effectLst/>
      </c:spPr>
    </c:plotArea>
    <c:legend>
      <c:legendPos val="b"/>
      <c:layout>
        <c:manualLayout>
          <c:xMode val="edge"/>
          <c:yMode val="edge"/>
          <c:x val="6.8074390006804708E-2"/>
          <c:y val="0.90674709695378986"/>
          <c:w val="0.89471541751725481"/>
          <c:h val="9.3252903046210131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7849591717702"/>
          <c:y val="0.17195767195767195"/>
          <c:w val="0.78971213667735973"/>
          <c:h val="0.65684862308878056"/>
        </c:manualLayout>
      </c:layout>
      <c:barChart>
        <c:barDir val="col"/>
        <c:grouping val="clustered"/>
        <c:varyColors val="0"/>
        <c:ser>
          <c:idx val="0"/>
          <c:order val="0"/>
          <c:tx>
            <c:strRef>
              <c:f>'[DPR working file 2021.xlsx]Contingent Liabilities'!$A$16</c:f>
              <c:strCache>
                <c:ptCount val="1"/>
                <c:pt idx="0">
                  <c:v>Domestic</c:v>
                </c:pt>
              </c:strCache>
            </c:strRef>
          </c:tx>
          <c:spPr>
            <a:solidFill>
              <a:schemeClr val="accent1"/>
            </a:solidFill>
            <a:ln>
              <a:noFill/>
            </a:ln>
            <a:effectLst/>
          </c:spPr>
          <c:invertIfNegative val="0"/>
          <c:cat>
            <c:strRef>
              <c:f>'[DPR working file 2021.xlsx]Contingent Liabilities'!$B$15:$F$15</c:f>
              <c:strCache>
                <c:ptCount val="5"/>
                <c:pt idx="0">
                  <c:v>2017</c:v>
                </c:pt>
                <c:pt idx="1">
                  <c:v>2018</c:v>
                </c:pt>
                <c:pt idx="2">
                  <c:v>2019</c:v>
                </c:pt>
                <c:pt idx="3">
                  <c:v>2020</c:v>
                </c:pt>
                <c:pt idx="4">
                  <c:v>2021</c:v>
                </c:pt>
              </c:strCache>
            </c:strRef>
          </c:cat>
          <c:val>
            <c:numRef>
              <c:f>'[DPR working file 2021.xlsx]Contingent Liabilities'!$B$16:$F$16</c:f>
              <c:numCache>
                <c:formatCode>[$$-409]#,##0.00</c:formatCode>
                <c:ptCount val="5"/>
                <c:pt idx="0">
                  <c:v>151.35812866000001</c:v>
                </c:pt>
                <c:pt idx="1">
                  <c:v>161.07878291</c:v>
                </c:pt>
                <c:pt idx="2">
                  <c:v>143.68295578999999</c:v>
                </c:pt>
                <c:pt idx="3">
                  <c:v>146.4</c:v>
                </c:pt>
                <c:pt idx="4">
                  <c:v>155.33540647799998</c:v>
                </c:pt>
              </c:numCache>
            </c:numRef>
          </c:val>
          <c:extLst xmlns:c16r2="http://schemas.microsoft.com/office/drawing/2015/06/chart">
            <c:ext xmlns:c16="http://schemas.microsoft.com/office/drawing/2014/chart" uri="{C3380CC4-5D6E-409C-BE32-E72D297353CC}">
              <c16:uniqueId val="{00000000-EA03-416E-91A6-2E4E92F8BA9B}"/>
            </c:ext>
          </c:extLst>
        </c:ser>
        <c:ser>
          <c:idx val="1"/>
          <c:order val="1"/>
          <c:tx>
            <c:strRef>
              <c:f>'[DPR working file 2021.xlsx]Contingent Liabilities'!$A$17</c:f>
              <c:strCache>
                <c:ptCount val="1"/>
                <c:pt idx="0">
                  <c:v>External</c:v>
                </c:pt>
              </c:strCache>
            </c:strRef>
          </c:tx>
          <c:spPr>
            <a:solidFill>
              <a:schemeClr val="accent2"/>
            </a:solidFill>
            <a:ln>
              <a:noFill/>
            </a:ln>
            <a:effectLst/>
          </c:spPr>
          <c:invertIfNegative val="0"/>
          <c:cat>
            <c:strRef>
              <c:f>'[DPR working file 2021.xlsx]Contingent Liabilities'!$B$15:$F$15</c:f>
              <c:strCache>
                <c:ptCount val="5"/>
                <c:pt idx="0">
                  <c:v>2017</c:v>
                </c:pt>
                <c:pt idx="1">
                  <c:v>2018</c:v>
                </c:pt>
                <c:pt idx="2">
                  <c:v>2019</c:v>
                </c:pt>
                <c:pt idx="3">
                  <c:v>2020</c:v>
                </c:pt>
                <c:pt idx="4">
                  <c:v>2021</c:v>
                </c:pt>
              </c:strCache>
            </c:strRef>
          </c:cat>
          <c:val>
            <c:numRef>
              <c:f>'[DPR working file 2021.xlsx]Contingent Liabilities'!$B$17:$F$17</c:f>
              <c:numCache>
                <c:formatCode>0.00</c:formatCode>
                <c:ptCount val="5"/>
                <c:pt idx="0">
                  <c:v>42.448683481001005</c:v>
                </c:pt>
                <c:pt idx="1">
                  <c:v>37.114549395426003</c:v>
                </c:pt>
                <c:pt idx="2">
                  <c:v>49.132498539636003</c:v>
                </c:pt>
                <c:pt idx="3" formatCode="[$$-409]#,##0.00">
                  <c:v>66.285406862999992</c:v>
                </c:pt>
                <c:pt idx="4" formatCode="[$$-409]#,##0.00">
                  <c:v>115.743282669</c:v>
                </c:pt>
              </c:numCache>
            </c:numRef>
          </c:val>
          <c:extLst xmlns:c16r2="http://schemas.microsoft.com/office/drawing/2015/06/chart">
            <c:ext xmlns:c16="http://schemas.microsoft.com/office/drawing/2014/chart" uri="{C3380CC4-5D6E-409C-BE32-E72D297353CC}">
              <c16:uniqueId val="{00000001-EA03-416E-91A6-2E4E92F8BA9B}"/>
            </c:ext>
          </c:extLst>
        </c:ser>
        <c:dLbls>
          <c:showLegendKey val="0"/>
          <c:showVal val="0"/>
          <c:showCatName val="0"/>
          <c:showSerName val="0"/>
          <c:showPercent val="0"/>
          <c:showBubbleSize val="0"/>
        </c:dLbls>
        <c:gapWidth val="150"/>
        <c:axId val="294650248"/>
        <c:axId val="294652992"/>
      </c:barChart>
      <c:catAx>
        <c:axId val="294650248"/>
        <c:scaling>
          <c:orientation val="minMax"/>
        </c:scaling>
        <c:delete val="0"/>
        <c:axPos val="b"/>
        <c:numFmt formatCode="General" sourceLinked="1"/>
        <c:majorTickMark val="none"/>
        <c:minorTickMark val="none"/>
        <c:tickLblPos val="nextTo"/>
        <c:spPr>
          <a:noFill/>
          <a:ln w="9525">
            <a:no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4652992"/>
        <c:crosses val="autoZero"/>
        <c:auto val="1"/>
        <c:lblAlgn val="ctr"/>
        <c:lblOffset val="100"/>
        <c:noMultiLvlLbl val="0"/>
      </c:catAx>
      <c:valAx>
        <c:axId val="294652992"/>
        <c:scaling>
          <c:orientation val="minMax"/>
          <c:max val="150"/>
        </c:scaling>
        <c:delete val="0"/>
        <c:axPos val="l"/>
        <c:majorGridlines>
          <c:spPr>
            <a:ln w="9525">
              <a:no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Millions (XCD)</a:t>
                </a:r>
              </a:p>
            </c:rich>
          </c:tx>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4650248"/>
        <c:crosses val="autoZero"/>
        <c:crossBetween val="between"/>
        <c:majorUnit val="30"/>
      </c:valAx>
      <c:spPr>
        <a:noFill/>
        <a:ln>
          <a:noFill/>
        </a:ln>
        <a:effectLst/>
      </c:spPr>
    </c:plotArea>
    <c:legend>
      <c:legendPos val="b"/>
      <c:layout>
        <c:manualLayout>
          <c:xMode val="edge"/>
          <c:yMode val="edge"/>
          <c:x val="0.32936746621950036"/>
          <c:y val="0.90230648252301793"/>
          <c:w val="0.34126476377952758"/>
          <c:h val="9.7693517476982045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265432098765432"/>
          <c:y val="0.20800264550264549"/>
          <c:w val="0.79012345679012341"/>
          <c:h val="0.72949735449735453"/>
        </c:manualLayout>
      </c:layout>
      <c:ofPieChart>
        <c:ofPieType val="pie"/>
        <c:varyColors val="1"/>
        <c:ser>
          <c:idx val="0"/>
          <c:order val="0"/>
          <c:explosion val="7"/>
          <c:dPt>
            <c:idx val="0"/>
            <c:bubble3D val="0"/>
            <c:spPr>
              <a:solidFill>
                <a:schemeClr val="accent2">
                  <a:shade val="47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1-5701-4A3D-9167-426FFC53D672}"/>
              </c:ext>
            </c:extLst>
          </c:dPt>
          <c:dPt>
            <c:idx val="1"/>
            <c:bubble3D val="0"/>
            <c:spPr>
              <a:solidFill>
                <a:schemeClr val="accent2">
                  <a:shade val="65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3-5701-4A3D-9167-426FFC53D672}"/>
              </c:ext>
            </c:extLst>
          </c:dPt>
          <c:dPt>
            <c:idx val="2"/>
            <c:bubble3D val="0"/>
            <c:spPr>
              <a:solidFill>
                <a:schemeClr val="accent2">
                  <a:shade val="82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5-5701-4A3D-9167-426FFC53D672}"/>
              </c:ext>
            </c:extLst>
          </c:dPt>
          <c:dPt>
            <c:idx val="3"/>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7-5701-4A3D-9167-426FFC53D672}"/>
              </c:ext>
            </c:extLst>
          </c:dPt>
          <c:dPt>
            <c:idx val="4"/>
            <c:bubble3D val="0"/>
            <c:spPr>
              <a:solidFill>
                <a:schemeClr val="accent2">
                  <a:tint val="83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9-5701-4A3D-9167-426FFC53D672}"/>
              </c:ext>
            </c:extLst>
          </c:dPt>
          <c:dPt>
            <c:idx val="5"/>
            <c:bubble3D val="0"/>
            <c:spPr>
              <a:solidFill>
                <a:schemeClr val="accent2">
                  <a:tint val="65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B-5701-4A3D-9167-426FFC53D672}"/>
              </c:ext>
            </c:extLst>
          </c:dPt>
          <c:dPt>
            <c:idx val="6"/>
            <c:bubble3D val="0"/>
            <c:spPr>
              <a:solidFill>
                <a:schemeClr val="accent2">
                  <a:tint val="48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D-5701-4A3D-9167-426FFC53D672}"/>
              </c:ext>
            </c:extLst>
          </c:dPt>
          <c:dPt>
            <c:idx val="7"/>
            <c:bubble3D val="0"/>
            <c:spPr>
              <a:solidFill>
                <a:schemeClr val="accent2">
                  <a:tint val="3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F-5701-4A3D-9167-426FFC53D672}"/>
              </c:ext>
            </c:extLst>
          </c:dPt>
          <c:dPt>
            <c:idx val="8"/>
            <c:bubble3D val="0"/>
            <c:spPr>
              <a:solidFill>
                <a:schemeClr val="accent2">
                  <a:tint val="13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1-5701-4A3D-9167-426FFC53D672}"/>
              </c:ext>
            </c:extLst>
          </c:dPt>
          <c:dLbls>
            <c:dLbl>
              <c:idx val="1"/>
              <c:layout>
                <c:manualLayout>
                  <c:x val="2.2183641975308641E-3"/>
                  <c:y val="-0.25470722409698787"/>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5701-4A3D-9167-426FFC53D672}"/>
                </c:ext>
                <c:ext xmlns:c15="http://schemas.microsoft.com/office/drawing/2012/chart" uri="{CE6537A1-D6FC-4f65-9D91-7224C49458BB}"/>
              </c:extLst>
            </c:dLbl>
            <c:dLbl>
              <c:idx val="4"/>
              <c:layout>
                <c:manualLayout>
                  <c:x val="0.11570817216926832"/>
                  <c:y val="-0.13750364537766113"/>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9-5701-4A3D-9167-426FFC53D672}"/>
                </c:ext>
                <c:ext xmlns:c15="http://schemas.microsoft.com/office/drawing/2012/chart" uri="{CE6537A1-D6FC-4f65-9D91-7224C49458BB}"/>
              </c:extLst>
            </c:dLbl>
            <c:numFmt formatCode="0.00%" sourceLinked="0"/>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showLeaderLines val="1"/>
            <c:leaderLines>
              <c:spPr>
                <a:ln w="9525">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'[DPR working file 2021.xlsx]Contingent Liabilities'!$A$26:$A$32</c:f>
              <c:strCache>
                <c:ptCount val="7"/>
                <c:pt idx="0">
                  <c:v>National Insurance Corporation</c:v>
                </c:pt>
                <c:pt idx="1">
                  <c:v>Caribbean Development Bank</c:v>
                </c:pt>
                <c:pt idx="2">
                  <c:v>EXIM Bank</c:v>
                </c:pt>
                <c:pt idx="3">
                  <c:v>Bank of Saint Lucia</c:v>
                </c:pt>
                <c:pt idx="4">
                  <c:v>1st National Bank</c:v>
                </c:pt>
                <c:pt idx="5">
                  <c:v>Caricom Development Fund </c:v>
                </c:pt>
                <c:pt idx="6">
                  <c:v>Saint Lucia Development Bank</c:v>
                </c:pt>
              </c:strCache>
            </c:strRef>
          </c:cat>
          <c:val>
            <c:numRef>
              <c:f>'[DPR working file 2021.xlsx]Contingent Liabilities'!$B$26:$B$32</c:f>
              <c:numCache>
                <c:formatCode>[$$-409]#,##0.00</c:formatCode>
                <c:ptCount val="7"/>
                <c:pt idx="0">
                  <c:v>114.680268478</c:v>
                </c:pt>
                <c:pt idx="1">
                  <c:v>45.29818404000001</c:v>
                </c:pt>
                <c:pt idx="2">
                  <c:v>66.516009515999997</c:v>
                </c:pt>
                <c:pt idx="3">
                  <c:v>29.908954670000004</c:v>
                </c:pt>
                <c:pt idx="4">
                  <c:v>10.282800910000001</c:v>
                </c:pt>
                <c:pt idx="5">
                  <c:v>3.9290891130000007</c:v>
                </c:pt>
                <c:pt idx="6">
                  <c:v>0.46338241999999991</c:v>
                </c:pt>
              </c:numCache>
            </c:numRef>
          </c:val>
          <c:extLst xmlns:c16r2="http://schemas.microsoft.com/office/drawing/2015/06/chart">
            <c:ext xmlns:c16="http://schemas.microsoft.com/office/drawing/2014/chart" uri="{C3380CC4-5D6E-409C-BE32-E72D297353CC}">
              <c16:uniqueId val="{00000012-5701-4A3D-9167-426FFC53D672}"/>
            </c:ext>
          </c:extLst>
        </c:ser>
        <c:dLbls>
          <c:dLblPos val="bestFit"/>
          <c:showLegendKey val="0"/>
          <c:showVal val="0"/>
          <c:showCatName val="1"/>
          <c:showSerName val="0"/>
          <c:showPercent val="1"/>
          <c:showBubbleSize val="0"/>
          <c:showLeaderLines val="1"/>
        </c:dLbls>
        <c:gapWidth val="100"/>
        <c:splitType val="percent"/>
        <c:splitPos val="5"/>
        <c:secondPieSize val="75"/>
        <c:serLines>
          <c:spPr>
            <a:ln w="9525">
              <a:solidFill>
                <a:schemeClr val="tx1">
                  <a:lumMod val="35000"/>
                  <a:lumOff val="65000"/>
                </a:schemeClr>
              </a:solidFill>
              <a:round/>
            </a:ln>
            <a:effectLst/>
          </c:spPr>
        </c:serLines>
      </c:ofPieChart>
      <c:spPr>
        <a:noFill/>
        <a:ln>
          <a:noFill/>
        </a:ln>
        <a:effectLst/>
      </c:spPr>
    </c:plotArea>
    <c:plotVisOnly val="1"/>
    <c:dispBlanksAs val="gap"/>
    <c:showDLblsOverMax val="0"/>
  </c:chart>
  <c:spPr>
    <a:noFill/>
    <a:ln w="9525">
      <a:noFill/>
      <a:round/>
    </a:ln>
    <a:effectLst/>
  </c:spPr>
  <c:txPr>
    <a:bodyPr/>
    <a:lstStyle/>
    <a:p>
      <a:pPr>
        <a:defRPr sz="800" b="0" i="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rotWithShape="1">
        <a:gsLst>
          <a:gs pos="0">
            <a:schemeClr val="lt1"/>
          </a:gs>
          <a:gs pos="68000">
            <a:schemeClr val="lt1">
              <a:lumMod val="85000"/>
            </a:schemeClr>
          </a:gs>
          <a:gs pos="100000">
            <a:schemeClr val="lt1"/>
          </a:gs>
        </a:gsLst>
        <a:lin ang="5400000" scaled="1"/>
      </a:gradFill>
      <a:ln w="9525">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rotWithShape="1">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rotWithShape="1">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rotWithShape="1">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rotWithShape="1">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ln w="9525">
        <a:solidFill>
          <a:schemeClr val="tx1">
            <a:lumMod val="15000"/>
            <a:lumOff val="85000"/>
          </a:schemeClr>
        </a:solidFill>
        <a:round/>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4A3277B7707A48B0E1B9AC835E8163" ma:contentTypeVersion="13" ma:contentTypeDescription="Create a new document." ma:contentTypeScope="" ma:versionID="d734c1d1a0c00bbac50d1fedb964750e">
  <xsd:schema xmlns:xsd="http://www.w3.org/2001/XMLSchema" xmlns:xs="http://www.w3.org/2001/XMLSchema" xmlns:p="http://schemas.microsoft.com/office/2006/metadata/properties" xmlns:ns3="aa3449fd-d373-417f-9c8d-cf261ce8b785" xmlns:ns4="eda4fd43-f936-4ced-9b4a-46c1ef7d5473" targetNamespace="http://schemas.microsoft.com/office/2006/metadata/properties" ma:root="true" ma:fieldsID="6fa43ebfec50095d87044eb5f7d784d0" ns3:_="" ns4:_="">
    <xsd:import namespace="aa3449fd-d373-417f-9c8d-cf261ce8b785"/>
    <xsd:import namespace="eda4fd43-f936-4ced-9b4a-46c1ef7d547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3449fd-d373-417f-9c8d-cf261ce8b78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a4fd43-f936-4ced-9b4a-46c1ef7d547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ABE831-08A5-4BCC-9F7D-C5BD780C59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3449fd-d373-417f-9c8d-cf261ce8b785"/>
    <ds:schemaRef ds:uri="eda4fd43-f936-4ced-9b4a-46c1ef7d54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E8FC11-6B72-4F22-A3E6-C77D19EF1E9C}">
  <ds:schemaRefs>
    <ds:schemaRef ds:uri="http://schemas.microsoft.com/sharepoint/v3/contenttype/forms"/>
  </ds:schemaRefs>
</ds:datastoreItem>
</file>

<file path=customXml/itemProps4.xml><?xml version="1.0" encoding="utf-8"?>
<ds:datastoreItem xmlns:ds="http://schemas.openxmlformats.org/officeDocument/2006/customXml" ds:itemID="{723984C3-6A4E-4DA2-B36E-7A9C95A2260C}">
  <ds:schemaRefs>
    <ds:schemaRef ds:uri="http://schemas.microsoft.com/office/2006/documentManagement/types"/>
    <ds:schemaRef ds:uri="http://schemas.microsoft.com/office/2006/metadata/properties"/>
    <ds:schemaRef ds:uri="aa3449fd-d373-417f-9c8d-cf261ce8b785"/>
    <ds:schemaRef ds:uri="http://purl.org/dc/terms/"/>
    <ds:schemaRef ds:uri="http://schemas.openxmlformats.org/package/2006/metadata/core-properties"/>
    <ds:schemaRef ds:uri="http://schemas.microsoft.com/office/infopath/2007/PartnerControls"/>
    <ds:schemaRef ds:uri="http://purl.org/dc/dcmitype/"/>
    <ds:schemaRef ds:uri="eda4fd43-f936-4ced-9b4a-46c1ef7d5473"/>
    <ds:schemaRef ds:uri="http://www.w3.org/XML/1998/namespace"/>
    <ds:schemaRef ds:uri="http://purl.org/dc/elements/1.1/"/>
  </ds:schemaRefs>
</ds:datastoreItem>
</file>

<file path=customXml/itemProps5.xml><?xml version="1.0" encoding="utf-8"?>
<ds:datastoreItem xmlns:ds="http://schemas.openxmlformats.org/officeDocument/2006/customXml" ds:itemID="{658B2F21-C26E-4427-B043-04BDEC7C4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5818</Words>
  <Characters>33165</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Government of Saint Lucia               Annual Debt Portfolio Report 2021</vt:lpstr>
    </vt:vector>
  </TitlesOfParts>
  <Company>Government of Saint Lucia</Company>
  <LinksUpToDate>false</LinksUpToDate>
  <CharactersWithSpaces>38906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Government of Saint Lucia               Annual Debt Portfolio Report 2021</dc:title>
  <dc:creator>Compiled by the Debt and Investment Management Unit of the Ministry of Finance</dc:creator>
  <cp:lastModifiedBy>Vera John-Emmanuel</cp:lastModifiedBy>
  <cp:revision>2</cp:revision>
  <cp:lastPrinted>2022-05-12T15:09:00Z</cp:lastPrinted>
  <dcterms:created xsi:type="dcterms:W3CDTF">2022-10-13T19:07:00Z</dcterms:created>
  <dcterms:modified xsi:type="dcterms:W3CDTF">2022-10-13T19:07:00Z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0x010100884A3277B7707A48B0E1B9AC835E8163</vt:lpwstr>
  </property>
</Properties>
</file>